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E78EC" w14:textId="77777777" w:rsidR="00BE3711" w:rsidRPr="006D1E56" w:rsidRDefault="00BE3711" w:rsidP="000469A8">
      <w:pPr>
        <w:shd w:val="clear" w:color="auto" w:fill="FFFFFF" w:themeFill="background1"/>
        <w:tabs>
          <w:tab w:val="center" w:pos="4819"/>
          <w:tab w:val="right" w:pos="9639"/>
        </w:tabs>
        <w:spacing w:after="120"/>
        <w:jc w:val="both"/>
        <w:rPr>
          <w:rFonts w:asciiTheme="majorBidi" w:eastAsia="Meiryo" w:hAnsiTheme="majorBidi" w:cstheme="majorBidi"/>
          <w:b/>
          <w:bCs/>
          <w:sz w:val="18"/>
          <w:szCs w:val="18"/>
        </w:rPr>
      </w:pPr>
      <w:r w:rsidRPr="006D1E56">
        <w:rPr>
          <w:rFonts w:asciiTheme="majorBidi" w:eastAsia="Meiryo" w:hAnsiTheme="majorBidi" w:cstheme="majorBidi"/>
          <w:b/>
          <w:noProof/>
          <w:sz w:val="18"/>
          <w:szCs w:val="18"/>
          <w:lang w:val="en-US"/>
        </w:rPr>
        <w:drawing>
          <wp:inline distT="0" distB="0" distL="0" distR="0" wp14:anchorId="2D61BC3D" wp14:editId="45C46221">
            <wp:extent cx="4453255" cy="512097"/>
            <wp:effectExtent l="0" t="0" r="4445" b="2540"/>
            <wp:docPr id="1" name="Picture 1" descr="C:\Users\osarr\AppData\Local\Temp\notesC9812B\ECA Logo_new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rr\AppData\Local\Temp\notesC9812B\ECA Logo_new_E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8412" cy="572487"/>
                    </a:xfrm>
                    <a:prstGeom prst="rect">
                      <a:avLst/>
                    </a:prstGeom>
                    <a:noFill/>
                    <a:ln>
                      <a:noFill/>
                    </a:ln>
                  </pic:spPr>
                </pic:pic>
              </a:graphicData>
            </a:graphic>
          </wp:inline>
        </w:drawing>
      </w:r>
    </w:p>
    <w:p w14:paraId="1FCF19E5" w14:textId="77777777" w:rsidR="00BE3711" w:rsidRPr="006D1E56"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67211FE2" w14:textId="77777777" w:rsidR="00BE3711" w:rsidRPr="006D1E56"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CD11C0E" w14:textId="77777777" w:rsidR="00BE3711" w:rsidRPr="006D1E56"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D2E480F" w14:textId="77777777" w:rsidR="00BE3711" w:rsidRPr="006D1E56"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38F54C4" w14:textId="77777777" w:rsidR="00BE3711" w:rsidRPr="006D1E56" w:rsidRDefault="00BE3711"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3C8CF0F3" w14:textId="06046A9B" w:rsidR="00F91310" w:rsidRPr="006D1E56"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27A64FE" w14:textId="5C815650" w:rsidR="00F91310" w:rsidRPr="006D1E56"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68D92695" w14:textId="6DAA1511" w:rsidR="00F91310" w:rsidRPr="006D1E56"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30F71F71" w14:textId="137E0C0B" w:rsidR="00F91310" w:rsidRPr="006D1E56"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65A0BB3D" w14:textId="623C0AAB" w:rsidR="00F91310" w:rsidRPr="006D1E56"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34723776" w14:textId="1CC66E94" w:rsidR="00F91310"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1FF7BCE" w14:textId="77777777" w:rsidR="00C034E0" w:rsidRPr="006D1E56" w:rsidRDefault="00C034E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A03E076" w14:textId="77777777" w:rsidR="0044348D" w:rsidRPr="006D1E56" w:rsidRDefault="0044348D"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038CECE6" w14:textId="35EE24F4" w:rsidR="00F91310" w:rsidRPr="006D1E56" w:rsidRDefault="00F91310" w:rsidP="000469A8">
      <w:pPr>
        <w:shd w:val="clear" w:color="auto" w:fill="FFFFFF" w:themeFill="background1"/>
        <w:autoSpaceDE w:val="0"/>
        <w:autoSpaceDN w:val="0"/>
        <w:adjustRightInd w:val="0"/>
        <w:jc w:val="both"/>
        <w:rPr>
          <w:rFonts w:asciiTheme="majorBidi" w:eastAsia="Meiryo" w:hAnsiTheme="majorBidi" w:cstheme="majorBidi"/>
          <w:b/>
          <w:sz w:val="18"/>
          <w:szCs w:val="18"/>
        </w:rPr>
      </w:pPr>
    </w:p>
    <w:p w14:paraId="71C6BEEC" w14:textId="77777777" w:rsidR="00C034E0" w:rsidRPr="00C034E0" w:rsidRDefault="00C034E0" w:rsidP="00C034E0">
      <w:pPr>
        <w:shd w:val="clear" w:color="auto" w:fill="FFFFFF" w:themeFill="background1"/>
        <w:autoSpaceDE w:val="0"/>
        <w:autoSpaceDN w:val="0"/>
        <w:adjustRightInd w:val="0"/>
        <w:jc w:val="center"/>
        <w:rPr>
          <w:rFonts w:asciiTheme="majorBidi" w:eastAsia="Meiryo" w:hAnsiTheme="majorBidi" w:cstheme="majorBidi"/>
          <w:b/>
          <w:color w:val="2F5496" w:themeColor="accent1" w:themeShade="BF"/>
          <w:sz w:val="48"/>
          <w:szCs w:val="48"/>
        </w:rPr>
      </w:pPr>
      <w:r w:rsidRPr="00C034E0">
        <w:rPr>
          <w:rFonts w:asciiTheme="majorBidi" w:eastAsia="Meiryo" w:hAnsiTheme="majorBidi" w:cstheme="majorBidi"/>
          <w:b/>
          <w:color w:val="2F5496" w:themeColor="accent1" w:themeShade="BF"/>
          <w:sz w:val="48"/>
          <w:szCs w:val="48"/>
        </w:rPr>
        <w:t>African Centre for Statistics</w:t>
      </w:r>
    </w:p>
    <w:p w14:paraId="5DE5ABFF" w14:textId="77777777" w:rsidR="00C034E0" w:rsidRPr="00C034E0" w:rsidRDefault="00C034E0" w:rsidP="00C034E0">
      <w:pPr>
        <w:shd w:val="clear" w:color="auto" w:fill="FFFFFF" w:themeFill="background1"/>
        <w:autoSpaceDE w:val="0"/>
        <w:autoSpaceDN w:val="0"/>
        <w:adjustRightInd w:val="0"/>
        <w:jc w:val="center"/>
        <w:rPr>
          <w:rFonts w:asciiTheme="majorBidi" w:eastAsia="Meiryo" w:hAnsiTheme="majorBidi" w:cstheme="majorBidi"/>
          <w:b/>
          <w:sz w:val="48"/>
          <w:szCs w:val="48"/>
        </w:rPr>
      </w:pPr>
    </w:p>
    <w:p w14:paraId="79A929AF" w14:textId="3611A4A2" w:rsidR="00C034E0" w:rsidRPr="00C034E0" w:rsidRDefault="00C034E0" w:rsidP="00C034E0">
      <w:pPr>
        <w:shd w:val="clear" w:color="auto" w:fill="FFFFFF" w:themeFill="background1"/>
        <w:autoSpaceDE w:val="0"/>
        <w:autoSpaceDN w:val="0"/>
        <w:adjustRightInd w:val="0"/>
        <w:jc w:val="center"/>
        <w:rPr>
          <w:rFonts w:asciiTheme="majorBidi" w:eastAsia="Meiryo" w:hAnsiTheme="majorBidi" w:cstheme="majorBidi"/>
          <w:b/>
          <w:color w:val="2F5496" w:themeColor="accent1" w:themeShade="BF"/>
          <w:sz w:val="48"/>
          <w:szCs w:val="48"/>
        </w:rPr>
      </w:pPr>
      <w:r w:rsidRPr="00C034E0">
        <w:rPr>
          <w:rFonts w:asciiTheme="majorBidi" w:eastAsia="Meiryo" w:hAnsiTheme="majorBidi" w:cstheme="majorBidi"/>
          <w:b/>
          <w:color w:val="2F5496" w:themeColor="accent1" w:themeShade="BF"/>
          <w:sz w:val="48"/>
          <w:szCs w:val="48"/>
        </w:rPr>
        <w:t>Ambassadors’ Quarterly Briefing</w:t>
      </w:r>
    </w:p>
    <w:p w14:paraId="69B12871" w14:textId="77777777" w:rsidR="00C034E0" w:rsidRPr="00C034E0" w:rsidRDefault="00C034E0" w:rsidP="00C034E0">
      <w:pPr>
        <w:shd w:val="clear" w:color="auto" w:fill="FFFFFF" w:themeFill="background1"/>
        <w:autoSpaceDE w:val="0"/>
        <w:autoSpaceDN w:val="0"/>
        <w:adjustRightInd w:val="0"/>
        <w:jc w:val="center"/>
        <w:rPr>
          <w:rFonts w:asciiTheme="majorBidi" w:eastAsia="Meiryo" w:hAnsiTheme="majorBidi" w:cstheme="majorBidi"/>
          <w:b/>
          <w:color w:val="2F5496" w:themeColor="accent1" w:themeShade="BF"/>
          <w:sz w:val="48"/>
          <w:szCs w:val="48"/>
        </w:rPr>
      </w:pPr>
    </w:p>
    <w:p w14:paraId="4C695948" w14:textId="77777777" w:rsidR="00C034E0" w:rsidRPr="00C034E0" w:rsidRDefault="00C034E0" w:rsidP="00C034E0">
      <w:pPr>
        <w:shd w:val="clear" w:color="auto" w:fill="FFFFFF" w:themeFill="background1"/>
        <w:autoSpaceDE w:val="0"/>
        <w:autoSpaceDN w:val="0"/>
        <w:adjustRightInd w:val="0"/>
        <w:jc w:val="center"/>
        <w:rPr>
          <w:rFonts w:asciiTheme="majorBidi" w:eastAsia="Meiryo" w:hAnsiTheme="majorBidi" w:cstheme="majorBidi"/>
          <w:b/>
          <w:bCs/>
          <w:color w:val="2F5496" w:themeColor="accent1" w:themeShade="BF"/>
          <w:sz w:val="48"/>
          <w:szCs w:val="48"/>
        </w:rPr>
      </w:pPr>
      <w:r w:rsidRPr="00C034E0">
        <w:rPr>
          <w:rFonts w:asciiTheme="majorBidi" w:eastAsia="Meiryo" w:hAnsiTheme="majorBidi" w:cstheme="majorBidi"/>
          <w:b/>
          <w:bCs/>
          <w:color w:val="2F5496" w:themeColor="accent1" w:themeShade="BF"/>
          <w:sz w:val="48"/>
          <w:szCs w:val="48"/>
        </w:rPr>
        <w:t>1 October – 31 December 2025</w:t>
      </w:r>
    </w:p>
    <w:p w14:paraId="0092FE05" w14:textId="77777777" w:rsidR="00C034E0" w:rsidRPr="00C034E0" w:rsidRDefault="00C034E0" w:rsidP="00C034E0">
      <w:pPr>
        <w:shd w:val="clear" w:color="auto" w:fill="FFFFFF" w:themeFill="background1"/>
        <w:autoSpaceDE w:val="0"/>
        <w:autoSpaceDN w:val="0"/>
        <w:adjustRightInd w:val="0"/>
        <w:jc w:val="center"/>
        <w:rPr>
          <w:rFonts w:asciiTheme="majorBidi" w:eastAsia="Meiryo" w:hAnsiTheme="majorBidi" w:cstheme="majorBidi"/>
          <w:b/>
          <w:sz w:val="48"/>
          <w:szCs w:val="48"/>
        </w:rPr>
      </w:pPr>
    </w:p>
    <w:p w14:paraId="2227B7A5" w14:textId="77777777" w:rsidR="00C034E0" w:rsidRPr="006D1E56" w:rsidRDefault="00C034E0" w:rsidP="00C034E0">
      <w:pPr>
        <w:shd w:val="clear" w:color="auto" w:fill="FFFFFF" w:themeFill="background1"/>
        <w:autoSpaceDE w:val="0"/>
        <w:autoSpaceDN w:val="0"/>
        <w:adjustRightInd w:val="0"/>
        <w:jc w:val="center"/>
        <w:rPr>
          <w:rFonts w:asciiTheme="majorBidi" w:eastAsia="Meiryo" w:hAnsiTheme="majorBidi" w:cstheme="majorBidi"/>
          <w:b/>
          <w:sz w:val="18"/>
          <w:szCs w:val="18"/>
        </w:rPr>
        <w:sectPr w:rsidR="00C034E0" w:rsidRPr="006D1E56" w:rsidSect="00C034E0">
          <w:headerReference w:type="default" r:id="rId12"/>
          <w:footerReference w:type="default" r:id="rId13"/>
          <w:pgSz w:w="12240" w:h="15840"/>
          <w:pgMar w:top="1440" w:right="1440" w:bottom="1440" w:left="1440" w:header="720" w:footer="720" w:gutter="0"/>
          <w:cols w:space="720"/>
          <w:docGrid w:linePitch="360"/>
        </w:sectPr>
      </w:pPr>
    </w:p>
    <w:p w14:paraId="4B8748C5" w14:textId="6700B3BB" w:rsidR="0035291E" w:rsidRPr="0008362B" w:rsidRDefault="00BE3711" w:rsidP="00740B6C">
      <w:pPr>
        <w:pStyle w:val="ListParagraph"/>
        <w:numPr>
          <w:ilvl w:val="0"/>
          <w:numId w:val="3"/>
        </w:numPr>
        <w:shd w:val="clear" w:color="auto" w:fill="FFFFFF" w:themeFill="background1"/>
        <w:jc w:val="both"/>
        <w:outlineLvl w:val="0"/>
        <w:rPr>
          <w:b/>
          <w:bCs/>
          <w:color w:val="2F5496" w:themeColor="accent1" w:themeShade="BF"/>
          <w:kern w:val="36"/>
          <w:sz w:val="22"/>
          <w:szCs w:val="22"/>
          <w:lang w:eastAsia="zh-CN"/>
        </w:rPr>
      </w:pPr>
      <w:bookmarkStart w:id="0" w:name="_Toc173157636"/>
      <w:bookmarkStart w:id="1" w:name="_Toc173157751"/>
      <w:bookmarkStart w:id="2" w:name="_Toc173157878"/>
      <w:bookmarkStart w:id="3" w:name="_Toc173157923"/>
      <w:bookmarkStart w:id="4" w:name="_Toc173157953"/>
      <w:bookmarkStart w:id="5" w:name="_Toc173157983"/>
      <w:bookmarkStart w:id="6" w:name="_Toc173158013"/>
      <w:bookmarkStart w:id="7" w:name="_Toc173161811"/>
      <w:bookmarkEnd w:id="0"/>
      <w:bookmarkEnd w:id="1"/>
      <w:bookmarkEnd w:id="2"/>
      <w:bookmarkEnd w:id="3"/>
      <w:bookmarkEnd w:id="4"/>
      <w:bookmarkEnd w:id="5"/>
      <w:bookmarkEnd w:id="6"/>
      <w:r w:rsidRPr="34D7BB64">
        <w:rPr>
          <w:b/>
          <w:bCs/>
          <w:color w:val="2F5496" w:themeColor="accent1" w:themeShade="BF"/>
          <w:kern w:val="36"/>
          <w:sz w:val="22"/>
          <w:szCs w:val="22"/>
          <w:lang w:eastAsia="zh-CN"/>
        </w:rPr>
        <w:lastRenderedPageBreak/>
        <w:t>Key Activities</w:t>
      </w:r>
      <w:bookmarkEnd w:id="7"/>
      <w:r w:rsidRPr="34D7BB64">
        <w:rPr>
          <w:b/>
          <w:bCs/>
          <w:color w:val="2F5496" w:themeColor="accent1" w:themeShade="BF"/>
          <w:kern w:val="36"/>
          <w:sz w:val="22"/>
          <w:szCs w:val="22"/>
          <w:lang w:eastAsia="zh-CN"/>
        </w:rPr>
        <w:t xml:space="preserve"> </w:t>
      </w:r>
      <w:r w:rsidRPr="34D7BB64">
        <w:rPr>
          <w:color w:val="2F5496" w:themeColor="accent1" w:themeShade="BF"/>
          <w:sz w:val="22"/>
          <w:szCs w:val="22"/>
        </w:rPr>
        <w:t xml:space="preserve"> </w:t>
      </w:r>
    </w:p>
    <w:p w14:paraId="4DF54789" w14:textId="508ECC2F" w:rsidR="77EAFD9E" w:rsidRDefault="77EAFD9E" w:rsidP="00740B6C">
      <w:pPr>
        <w:pStyle w:val="ListParagraph"/>
        <w:numPr>
          <w:ilvl w:val="0"/>
          <w:numId w:val="2"/>
        </w:numPr>
        <w:spacing w:before="240" w:after="240"/>
        <w:jc w:val="both"/>
      </w:pPr>
      <w:r w:rsidRPr="34D7BB64">
        <w:rPr>
          <w:b/>
          <w:bCs/>
        </w:rPr>
        <w:t>Modernization of Statistical Systems – Cameroon, Burundi, and South Sudan.</w:t>
      </w:r>
      <w:r>
        <w:br/>
      </w:r>
      <w:r w:rsidRPr="34D7BB64">
        <w:t xml:space="preserve">ECA supported the modernization of national statistical systems in Cameroon, Burundi, and South Sudan. Cameroon enhanced its VAT-based turnover index through improved data quality and dissemination; Burundi strengthened </w:t>
      </w:r>
      <w:r w:rsidR="008F3FB1">
        <w:t xml:space="preserve">its </w:t>
      </w:r>
      <w:r w:rsidRPr="34D7BB64">
        <w:t>agro-pastoral administrative data through harmonization and capacity-building; and South Sudan conducted a Data Maturity Assessment to inform its NSDS development.</w:t>
      </w:r>
    </w:p>
    <w:p w14:paraId="61F55D91" w14:textId="185F7C3B" w:rsidR="101DD7E3" w:rsidRDefault="101DD7E3" w:rsidP="00740B6C">
      <w:pPr>
        <w:pStyle w:val="ListParagraph"/>
        <w:numPr>
          <w:ilvl w:val="0"/>
          <w:numId w:val="2"/>
        </w:numPr>
        <w:spacing w:before="240" w:after="240"/>
        <w:jc w:val="both"/>
      </w:pPr>
      <w:r w:rsidRPr="34D7BB64">
        <w:rPr>
          <w:b/>
          <w:bCs/>
        </w:rPr>
        <w:t>Regional Committee Meeting and EGM</w:t>
      </w:r>
      <w:r w:rsidR="00712F28">
        <w:rPr>
          <w:b/>
          <w:bCs/>
        </w:rPr>
        <w:t xml:space="preserve"> (Expert Group Meetings)</w:t>
      </w:r>
      <w:r w:rsidRPr="34D7BB64">
        <w:rPr>
          <w:b/>
          <w:bCs/>
        </w:rPr>
        <w:t xml:space="preserve"> on the Integration of Geospatial Information. </w:t>
      </w:r>
      <w:r w:rsidRPr="34D7BB64">
        <w:t>Held in Accra, Ghana, on 17–18 November 2025 alongside the Eleventh Session of UN-GGIM</w:t>
      </w:r>
      <w:r w:rsidR="00712F28">
        <w:t xml:space="preserve"> (United Nations Global Geospatial Information Management)</w:t>
      </w:r>
      <w:r w:rsidRPr="34D7BB64">
        <w:t>: Africa, the meeting convened over 70 participants from 30+ Member States and partner institutions. It strengthened regional coordination, enhanced technical coherence, and advanced implementation of the UN Integrated Geospatial Information Framework (UN-IGIF).</w:t>
      </w:r>
    </w:p>
    <w:p w14:paraId="477710C7" w14:textId="48DE7EE7" w:rsidR="0035291E" w:rsidRPr="007F7696" w:rsidRDefault="0035291E" w:rsidP="000469A8">
      <w:pPr>
        <w:pStyle w:val="ListParagraph"/>
        <w:shd w:val="clear" w:color="auto" w:fill="FFFFFF" w:themeFill="background1"/>
        <w:ind w:left="1070"/>
        <w:jc w:val="both"/>
        <w:outlineLvl w:val="0"/>
        <w:rPr>
          <w:color w:val="000000" w:themeColor="text1"/>
          <w:sz w:val="4"/>
          <w:szCs w:val="4"/>
        </w:rPr>
      </w:pPr>
      <w:bookmarkStart w:id="8" w:name="_Toc173161812"/>
    </w:p>
    <w:p w14:paraId="75CE7E52" w14:textId="14DBE5DE" w:rsidR="00BE3711" w:rsidRPr="0008362B" w:rsidRDefault="00BE3711" w:rsidP="00740B6C">
      <w:pPr>
        <w:pStyle w:val="ListParagraph"/>
        <w:numPr>
          <w:ilvl w:val="0"/>
          <w:numId w:val="3"/>
        </w:numPr>
        <w:shd w:val="clear" w:color="auto" w:fill="FFFFFF" w:themeFill="background1"/>
        <w:jc w:val="both"/>
        <w:outlineLvl w:val="0"/>
        <w:rPr>
          <w:b/>
          <w:bCs/>
          <w:color w:val="2F5496" w:themeColor="accent1" w:themeShade="BF"/>
          <w:kern w:val="36"/>
          <w:sz w:val="22"/>
          <w:szCs w:val="22"/>
          <w:lang w:eastAsia="zh-CN"/>
        </w:rPr>
      </w:pPr>
      <w:r w:rsidRPr="34D7BB64">
        <w:rPr>
          <w:b/>
          <w:bCs/>
          <w:color w:val="2F5496" w:themeColor="accent1" w:themeShade="BF"/>
          <w:kern w:val="36"/>
          <w:sz w:val="22"/>
          <w:szCs w:val="22"/>
          <w:lang w:eastAsia="zh-CN"/>
        </w:rPr>
        <w:t>Knowledge generation and information-sharing</w:t>
      </w:r>
      <w:bookmarkEnd w:id="8"/>
      <w:r w:rsidRPr="34D7BB64">
        <w:rPr>
          <w:b/>
          <w:bCs/>
          <w:color w:val="2F5496" w:themeColor="accent1" w:themeShade="BF"/>
          <w:kern w:val="36"/>
          <w:sz w:val="22"/>
          <w:szCs w:val="22"/>
          <w:lang w:eastAsia="zh-CN"/>
        </w:rPr>
        <w:t xml:space="preserve"> </w:t>
      </w:r>
      <w:bookmarkStart w:id="9" w:name="_Toc173161813"/>
    </w:p>
    <w:p w14:paraId="3A92219C" w14:textId="77777777" w:rsidR="005004BF" w:rsidRDefault="0D1575AE" w:rsidP="005004BF">
      <w:pPr>
        <w:pStyle w:val="ListParagraph"/>
        <w:numPr>
          <w:ilvl w:val="0"/>
          <w:numId w:val="6"/>
        </w:numPr>
        <w:shd w:val="clear" w:color="auto" w:fill="FFFFFF" w:themeFill="background1"/>
        <w:ind w:left="709"/>
        <w:jc w:val="both"/>
        <w:outlineLvl w:val="0"/>
        <w:rPr>
          <w:color w:val="000000" w:themeColor="text1"/>
          <w:sz w:val="18"/>
          <w:szCs w:val="18"/>
        </w:rPr>
      </w:pPr>
      <w:r w:rsidRPr="34D7BB64">
        <w:rPr>
          <w:b/>
          <w:bCs/>
        </w:rPr>
        <w:t xml:space="preserve">Africa SDG Report. </w:t>
      </w:r>
      <w:r w:rsidRPr="34D7BB64">
        <w:t>ECA produced the Africa SDGs Progress Report, highlighting limited progress toward the 2030 Agenda, persistent data gaps, especially for Goals 5,11,12and 16. The report emphasize</w:t>
      </w:r>
      <w:r w:rsidR="736B3F14" w:rsidRPr="34D7BB64">
        <w:t xml:space="preserve">s </w:t>
      </w:r>
      <w:r w:rsidRPr="34D7BB64">
        <w:t xml:space="preserve">the need for accelerated action and stronger statistical capacity. </w:t>
      </w:r>
      <w:hyperlink r:id="rId14">
        <w:r w:rsidR="0C271CF0" w:rsidRPr="34D7BB64">
          <w:rPr>
            <w:rStyle w:val="Hyperlink"/>
            <w:sz w:val="18"/>
            <w:szCs w:val="18"/>
          </w:rPr>
          <w:t>https://repository.uneca.org/entities/publication/0ee95b7b-8181-4661-bcf7-2fe8a4ccf760</w:t>
        </w:r>
      </w:hyperlink>
      <w:r w:rsidR="0C271CF0" w:rsidRPr="34D7BB64">
        <w:rPr>
          <w:color w:val="000000" w:themeColor="text1"/>
          <w:sz w:val="18"/>
          <w:szCs w:val="18"/>
        </w:rPr>
        <w:t xml:space="preserve"> </w:t>
      </w:r>
    </w:p>
    <w:p w14:paraId="7C1DB230" w14:textId="77777777" w:rsidR="005004BF" w:rsidRPr="005004BF" w:rsidRDefault="375417C0" w:rsidP="005004BF">
      <w:pPr>
        <w:pStyle w:val="ListParagraph"/>
        <w:numPr>
          <w:ilvl w:val="0"/>
          <w:numId w:val="6"/>
        </w:numPr>
        <w:shd w:val="clear" w:color="auto" w:fill="FFFFFF" w:themeFill="background1"/>
        <w:ind w:left="709"/>
        <w:jc w:val="both"/>
        <w:outlineLvl w:val="0"/>
        <w:rPr>
          <w:rStyle w:val="Hyperlink"/>
          <w:color w:val="000000" w:themeColor="text1"/>
          <w:sz w:val="18"/>
          <w:szCs w:val="18"/>
          <w:u w:val="none"/>
        </w:rPr>
      </w:pPr>
      <w:r w:rsidRPr="005004BF">
        <w:rPr>
          <w:b/>
          <w:bCs/>
        </w:rPr>
        <w:t>Africa Statistics Flash. ECA</w:t>
      </w:r>
      <w:r w:rsidRPr="34D7BB64">
        <w:t xml:space="preserve"> published the African Statistics Flash, providing updates on key economic, social, and development indicators. </w:t>
      </w:r>
      <w:r w:rsidR="4550C015" w:rsidRPr="005004BF">
        <w:rPr>
          <w:color w:val="000000" w:themeColor="text1"/>
          <w:sz w:val="20"/>
          <w:szCs w:val="20"/>
        </w:rPr>
        <w:t xml:space="preserve"> </w:t>
      </w:r>
      <w:hyperlink r:id="rId15">
        <w:r w:rsidR="4550C015" w:rsidRPr="005004BF">
          <w:rPr>
            <w:rStyle w:val="Hyperlink"/>
            <w:sz w:val="16"/>
            <w:szCs w:val="16"/>
          </w:rPr>
          <w:t>africa-stat-flash_october2025_en.pdf</w:t>
        </w:r>
      </w:hyperlink>
    </w:p>
    <w:p w14:paraId="069F32E3" w14:textId="77777777" w:rsidR="005004BF" w:rsidRPr="005004BF" w:rsidRDefault="6BB49D51" w:rsidP="005004BF">
      <w:pPr>
        <w:pStyle w:val="ListParagraph"/>
        <w:numPr>
          <w:ilvl w:val="0"/>
          <w:numId w:val="6"/>
        </w:numPr>
        <w:shd w:val="clear" w:color="auto" w:fill="FFFFFF" w:themeFill="background1"/>
        <w:ind w:left="709"/>
        <w:jc w:val="both"/>
        <w:outlineLvl w:val="0"/>
        <w:rPr>
          <w:color w:val="000000" w:themeColor="text1"/>
          <w:sz w:val="18"/>
          <w:szCs w:val="18"/>
        </w:rPr>
      </w:pPr>
      <w:r w:rsidRPr="005004BF">
        <w:rPr>
          <w:b/>
          <w:bCs/>
        </w:rPr>
        <w:t xml:space="preserve">SDG Tracking Progress Reports. </w:t>
      </w:r>
      <w:r w:rsidRPr="34D7BB64">
        <w:t xml:space="preserve">ECA released the SDG Tracking Progress Analysis, providing updated trajectories for all 17 goals and 169 targets,  </w:t>
      </w:r>
      <w:hyperlink r:id="rId16">
        <w:r w:rsidR="79C5A74C" w:rsidRPr="005004BF">
          <w:rPr>
            <w:color w:val="0563C1"/>
            <w:sz w:val="16"/>
            <w:szCs w:val="16"/>
            <w:u w:val="single"/>
          </w:rPr>
          <w:t>Africa SDG Tracker</w:t>
        </w:r>
      </w:hyperlink>
    </w:p>
    <w:p w14:paraId="3D0D523F" w14:textId="68782A41" w:rsidR="005004BF" w:rsidRPr="005004BF" w:rsidRDefault="0FA5B736" w:rsidP="005004BF">
      <w:pPr>
        <w:pStyle w:val="ListParagraph"/>
        <w:numPr>
          <w:ilvl w:val="0"/>
          <w:numId w:val="6"/>
        </w:numPr>
        <w:shd w:val="clear" w:color="auto" w:fill="FFFFFF" w:themeFill="background1"/>
        <w:ind w:left="709"/>
        <w:jc w:val="both"/>
        <w:outlineLvl w:val="0"/>
        <w:rPr>
          <w:color w:val="000000" w:themeColor="text1"/>
          <w:sz w:val="18"/>
          <w:szCs w:val="18"/>
        </w:rPr>
      </w:pPr>
      <w:r w:rsidRPr="005004BF">
        <w:rPr>
          <w:b/>
          <w:bCs/>
        </w:rPr>
        <w:t>Semi-Automated Tool on AfCIOT</w:t>
      </w:r>
      <w:r w:rsidR="00712F28">
        <w:rPr>
          <w:b/>
          <w:bCs/>
        </w:rPr>
        <w:t xml:space="preserve"> (Africa Continental Input Output Table)</w:t>
      </w:r>
      <w:r w:rsidRPr="005004BF">
        <w:rPr>
          <w:b/>
          <w:bCs/>
        </w:rPr>
        <w:t xml:space="preserve">. </w:t>
      </w:r>
      <w:r w:rsidRPr="34D7BB64">
        <w:t xml:space="preserve">ECA developed semi-automated tools to integrate SUT, IO, and trade data, enabling estimation of TiVA </w:t>
      </w:r>
      <w:r w:rsidR="00712F28">
        <w:t xml:space="preserve">(Trade in Value Added) </w:t>
      </w:r>
      <w:r w:rsidRPr="34D7BB64">
        <w:t>and Global Value Chain indicators, for countries such as Cameroon, Côte d’Ivoire, Senegal, Burkina Faso, South Africa, Mali, and Kenya.</w:t>
      </w:r>
    </w:p>
    <w:p w14:paraId="18DFC211" w14:textId="6A46E6B3" w:rsidR="0DBE8007" w:rsidRPr="005004BF" w:rsidRDefault="0DBE8007" w:rsidP="005004BF">
      <w:pPr>
        <w:pStyle w:val="ListParagraph"/>
        <w:numPr>
          <w:ilvl w:val="0"/>
          <w:numId w:val="6"/>
        </w:numPr>
        <w:shd w:val="clear" w:color="auto" w:fill="FFFFFF" w:themeFill="background1"/>
        <w:ind w:left="709"/>
        <w:jc w:val="both"/>
        <w:outlineLvl w:val="0"/>
        <w:rPr>
          <w:color w:val="000000" w:themeColor="text1"/>
          <w:sz w:val="18"/>
          <w:szCs w:val="18"/>
        </w:rPr>
      </w:pPr>
      <w:r w:rsidRPr="005004BF">
        <w:rPr>
          <w:b/>
          <w:bCs/>
        </w:rPr>
        <w:t xml:space="preserve">Secondary Administrative Level Boundaries – Mozambique </w:t>
      </w:r>
      <w:r w:rsidRPr="34D7BB64">
        <w:t>ECA supported Mozambique in updating and validating its Secondary Administrative Level Boundaries (SALB)</w:t>
      </w:r>
      <w:r w:rsidR="0000051C">
        <w:t>.</w:t>
      </w:r>
      <w:r w:rsidRPr="34D7BB64">
        <w:t xml:space="preserve"> </w:t>
      </w:r>
    </w:p>
    <w:p w14:paraId="254E9867" w14:textId="77777777" w:rsidR="009A6C4B" w:rsidRPr="007F7696" w:rsidRDefault="009A6C4B" w:rsidP="000469A8">
      <w:pPr>
        <w:pStyle w:val="ListParagraph"/>
        <w:shd w:val="clear" w:color="auto" w:fill="FFFFFF" w:themeFill="background1"/>
        <w:jc w:val="both"/>
        <w:outlineLvl w:val="0"/>
        <w:rPr>
          <w:b/>
          <w:bCs/>
          <w:kern w:val="36"/>
          <w:sz w:val="4"/>
          <w:szCs w:val="4"/>
          <w:lang w:eastAsia="zh-CN"/>
        </w:rPr>
      </w:pPr>
    </w:p>
    <w:p w14:paraId="5EB93D9F" w14:textId="0DD0FB8A" w:rsidR="00562D62" w:rsidRPr="0008362B" w:rsidRDefault="00BE3711" w:rsidP="00740B6C">
      <w:pPr>
        <w:pStyle w:val="ListParagraph"/>
        <w:numPr>
          <w:ilvl w:val="0"/>
          <w:numId w:val="3"/>
        </w:numPr>
        <w:shd w:val="clear" w:color="auto" w:fill="FFFFFF" w:themeFill="background1"/>
        <w:jc w:val="both"/>
        <w:outlineLvl w:val="0"/>
        <w:rPr>
          <w:b/>
          <w:bCs/>
          <w:color w:val="2F5496" w:themeColor="accent1" w:themeShade="BF"/>
          <w:kern w:val="36"/>
          <w:sz w:val="22"/>
          <w:szCs w:val="22"/>
          <w:lang w:eastAsia="zh-CN"/>
        </w:rPr>
      </w:pPr>
      <w:r w:rsidRPr="34D7BB64">
        <w:rPr>
          <w:b/>
          <w:bCs/>
          <w:color w:val="2F5496" w:themeColor="accent1" w:themeShade="BF"/>
          <w:kern w:val="36"/>
          <w:sz w:val="22"/>
          <w:szCs w:val="22"/>
          <w:lang w:eastAsia="zh-CN"/>
        </w:rPr>
        <w:t>Training Activities | Support</w:t>
      </w:r>
      <w:bookmarkStart w:id="10" w:name="_Toc173157639"/>
      <w:bookmarkStart w:id="11" w:name="_Toc173157754"/>
      <w:bookmarkStart w:id="12" w:name="_Toc173157885"/>
      <w:bookmarkStart w:id="13" w:name="_Toc173157930"/>
      <w:bookmarkStart w:id="14" w:name="_Toc173157960"/>
      <w:bookmarkStart w:id="15" w:name="_Toc173157990"/>
      <w:bookmarkStart w:id="16" w:name="_Toc173158020"/>
      <w:bookmarkStart w:id="17" w:name="_Toc173157886"/>
      <w:bookmarkStart w:id="18" w:name="_Toc173158021"/>
      <w:bookmarkEnd w:id="9"/>
      <w:bookmarkEnd w:id="10"/>
      <w:bookmarkEnd w:id="11"/>
      <w:bookmarkEnd w:id="12"/>
      <w:bookmarkEnd w:id="13"/>
      <w:bookmarkEnd w:id="14"/>
      <w:bookmarkEnd w:id="15"/>
      <w:bookmarkEnd w:id="16"/>
      <w:bookmarkEnd w:id="17"/>
      <w:bookmarkEnd w:id="18"/>
    </w:p>
    <w:p w14:paraId="582A86AA" w14:textId="2A9AE828" w:rsidR="009E0E44" w:rsidRPr="00CA2FC4" w:rsidRDefault="6B448971" w:rsidP="00740B6C">
      <w:pPr>
        <w:pStyle w:val="ListParagraph"/>
        <w:numPr>
          <w:ilvl w:val="0"/>
          <w:numId w:val="5"/>
        </w:numPr>
        <w:shd w:val="clear" w:color="auto" w:fill="FFFFFF" w:themeFill="background1"/>
        <w:jc w:val="both"/>
        <w:outlineLvl w:val="0"/>
      </w:pPr>
      <w:r w:rsidRPr="34D7BB64">
        <w:rPr>
          <w:b/>
          <w:bCs/>
        </w:rPr>
        <w:t xml:space="preserve">Census Field Monitoring – Lesotho.  </w:t>
      </w:r>
      <w:r w:rsidRPr="34D7BB64">
        <w:t>From 1–5 December 2025, ECA trained 15</w:t>
      </w:r>
      <w:r w:rsidR="00D553D1">
        <w:t xml:space="preserve"> </w:t>
      </w:r>
      <w:r w:rsidR="000469A8">
        <w:t>(6 females)</w:t>
      </w:r>
      <w:r w:rsidRPr="34D7BB64">
        <w:t xml:space="preserve"> Bureau of Statistics staff in Lesotho on the Census Field Monitoring Dashboard, focusing on field progress tracking, data quality checks, and supervision.</w:t>
      </w:r>
    </w:p>
    <w:p w14:paraId="794BD711" w14:textId="19E6D21A" w:rsidR="009E0E44" w:rsidRPr="00CA2FC4" w:rsidRDefault="0F15815A" w:rsidP="00740B6C">
      <w:pPr>
        <w:pStyle w:val="ListParagraph"/>
        <w:numPr>
          <w:ilvl w:val="0"/>
          <w:numId w:val="5"/>
        </w:numPr>
        <w:shd w:val="clear" w:color="auto" w:fill="FFFFFF" w:themeFill="background1"/>
        <w:jc w:val="both"/>
        <w:outlineLvl w:val="0"/>
      </w:pPr>
      <w:r w:rsidRPr="34D7BB64">
        <w:rPr>
          <w:b/>
          <w:bCs/>
        </w:rPr>
        <w:t xml:space="preserve">Namibia and Burundi – Geospatial Training. </w:t>
      </w:r>
      <w:r w:rsidRPr="34D7BB64">
        <w:t>From 2–5 December 2025, a workshop in Windhoek, Namibia strengthened climate and environmental geospatial data and disaster-indicator skills for 24 participants (12 female, 12 male) from Burundi and Namibia, representing statistical offices, government agencies, and technical institutions</w:t>
      </w:r>
    </w:p>
    <w:p w14:paraId="3D59CF24" w14:textId="5509346F" w:rsidR="009E0E44" w:rsidRPr="00712F28" w:rsidRDefault="209052BC" w:rsidP="00712F28">
      <w:pPr>
        <w:pStyle w:val="ListParagraph"/>
        <w:numPr>
          <w:ilvl w:val="0"/>
          <w:numId w:val="5"/>
        </w:numPr>
        <w:shd w:val="clear" w:color="auto" w:fill="FFFFFF" w:themeFill="background1"/>
        <w:jc w:val="both"/>
      </w:pPr>
      <w:r w:rsidRPr="34D7BB64">
        <w:rPr>
          <w:b/>
          <w:bCs/>
        </w:rPr>
        <w:t>National Vital Statistics Training</w:t>
      </w:r>
      <w:r w:rsidRPr="34D7BB64">
        <w:t xml:space="preserve">: </w:t>
      </w:r>
      <w:r w:rsidR="4C51100B" w:rsidRPr="34D7BB64">
        <w:t>I</w:t>
      </w:r>
      <w:r w:rsidRPr="34D7BB64">
        <w:t xml:space="preserve">n collaboration with the EAC Secretariat and ONS-UK, delivered national vital statistics trainings to strengthen CRVS capacity across several countries. Trainings were conducted in Kenya (35 officials, </w:t>
      </w:r>
      <w:r w:rsidR="00D553D1">
        <w:t xml:space="preserve">including </w:t>
      </w:r>
      <w:r w:rsidRPr="34D7BB64">
        <w:t xml:space="preserve">11 female), Zanzibar (21 officials, </w:t>
      </w:r>
      <w:r w:rsidR="00D553D1">
        <w:t xml:space="preserve">including </w:t>
      </w:r>
      <w:r w:rsidRPr="34D7BB64">
        <w:t xml:space="preserve">10 female), Namibia (6 stakeholders, </w:t>
      </w:r>
      <w:r w:rsidR="00D553D1">
        <w:t xml:space="preserve">including </w:t>
      </w:r>
      <w:r w:rsidRPr="34D7BB64">
        <w:t xml:space="preserve">4 female), and Burundi (21 officials, </w:t>
      </w:r>
      <w:r w:rsidR="00D553D1">
        <w:t xml:space="preserve">including </w:t>
      </w:r>
      <w:r w:rsidRPr="34D7BB64">
        <w:t xml:space="preserve">9 female), focusing on data </w:t>
      </w:r>
      <w:r w:rsidRPr="34D7BB64">
        <w:lastRenderedPageBreak/>
        <w:t xml:space="preserve">analysis, R programming, report production, and standardized methodologies. Additional sessions were held online for Rwanda and in Djibouti. </w:t>
      </w:r>
    </w:p>
    <w:p w14:paraId="7E765656" w14:textId="2B54D31F" w:rsidR="009E0E44" w:rsidRPr="00CA2FC4" w:rsidRDefault="2F7874BF" w:rsidP="00740B6C">
      <w:pPr>
        <w:pStyle w:val="ListParagraph"/>
        <w:numPr>
          <w:ilvl w:val="0"/>
          <w:numId w:val="5"/>
        </w:numPr>
        <w:tabs>
          <w:tab w:val="left" w:pos="2330"/>
        </w:tabs>
        <w:jc w:val="both"/>
        <w:rPr>
          <w:b/>
          <w:bCs/>
        </w:rPr>
      </w:pPr>
      <w:r w:rsidRPr="34D7BB64">
        <w:rPr>
          <w:b/>
          <w:bCs/>
        </w:rPr>
        <w:t>Capacity Building Support on National Accounts (Phase II) – 3–7 November, Lomé, Togo</w:t>
      </w:r>
      <w:r w:rsidR="00685769">
        <w:rPr>
          <w:b/>
          <w:bCs/>
        </w:rPr>
        <w:t>.</w:t>
      </w:r>
      <w:r w:rsidR="007F7696">
        <w:rPr>
          <w:b/>
          <w:bCs/>
        </w:rPr>
        <w:t xml:space="preserve"> </w:t>
      </w:r>
      <w:r w:rsidR="007F7696" w:rsidRPr="007F7696">
        <w:t xml:space="preserve">ECA trained a total </w:t>
      </w:r>
      <w:r w:rsidR="00685769" w:rsidRPr="007F7696">
        <w:t xml:space="preserve">of </w:t>
      </w:r>
      <w:r w:rsidR="00685769">
        <w:t>40</w:t>
      </w:r>
      <w:r w:rsidR="00A867B4">
        <w:t>(6 female)</w:t>
      </w:r>
      <w:r w:rsidR="00954A46">
        <w:t xml:space="preserve"> participants from the NSO</w:t>
      </w:r>
      <w:r w:rsidR="00685769">
        <w:t xml:space="preserve"> (National Statistics office)</w:t>
      </w:r>
      <w:r w:rsidR="00954A46">
        <w:t xml:space="preserve"> </w:t>
      </w:r>
      <w:r w:rsidR="007F7696" w:rsidRPr="007F7696">
        <w:t>on key national accounts concepts and tools used for producing quarterly national accounts</w:t>
      </w:r>
      <w:r w:rsidR="00685769">
        <w:t>.</w:t>
      </w:r>
    </w:p>
    <w:p w14:paraId="2084D579" w14:textId="48BD7E97" w:rsidR="007F7696" w:rsidRPr="007F7696" w:rsidRDefault="2F7874BF" w:rsidP="00740B6C">
      <w:pPr>
        <w:pStyle w:val="ListParagraph"/>
        <w:numPr>
          <w:ilvl w:val="0"/>
          <w:numId w:val="5"/>
        </w:numPr>
        <w:tabs>
          <w:tab w:val="left" w:pos="2330"/>
        </w:tabs>
        <w:jc w:val="both"/>
        <w:rPr>
          <w:b/>
          <w:bCs/>
        </w:rPr>
      </w:pPr>
      <w:r w:rsidRPr="34D7BB64">
        <w:rPr>
          <w:b/>
          <w:bCs/>
        </w:rPr>
        <w:t>Capacity Building on Methodological Validation and Pilot Readiness of GDP Rebasing – 8–12 December, Lomé, Togo</w:t>
      </w:r>
      <w:r w:rsidR="007F7696">
        <w:rPr>
          <w:b/>
          <w:bCs/>
        </w:rPr>
        <w:t xml:space="preserve">. </w:t>
      </w:r>
      <w:r w:rsidR="007F7696">
        <w:t>ECA assessed Togo’s readiness for GDP rebasing and reviewed the pilot preparedness of priority rebasing surveys, including trade and transport margins, enterprise cost structures, production, and employment data required to support the rebasing process.</w:t>
      </w:r>
      <w:r w:rsidR="00A867B4">
        <w:t xml:space="preserve"> </w:t>
      </w:r>
    </w:p>
    <w:p w14:paraId="2CE034B6" w14:textId="13C90BD8" w:rsidR="009E0E44" w:rsidRPr="00CA2FC4" w:rsidRDefault="2F7874BF" w:rsidP="00740B6C">
      <w:pPr>
        <w:pStyle w:val="ListParagraph"/>
        <w:numPr>
          <w:ilvl w:val="0"/>
          <w:numId w:val="5"/>
        </w:numPr>
        <w:tabs>
          <w:tab w:val="left" w:pos="2330"/>
        </w:tabs>
        <w:jc w:val="both"/>
        <w:rPr>
          <w:lang w:val="en-US"/>
        </w:rPr>
      </w:pPr>
      <w:r w:rsidRPr="34D7BB64">
        <w:rPr>
          <w:b/>
          <w:bCs/>
        </w:rPr>
        <w:t>Capacity Development Support in Small Area Estimation – 20–24 October, Kenya</w:t>
      </w:r>
      <w:r w:rsidR="58006F3F" w:rsidRPr="34D7BB64">
        <w:rPr>
          <w:b/>
          <w:bCs/>
        </w:rPr>
        <w:t>.</w:t>
      </w:r>
      <w:r w:rsidR="58006F3F" w:rsidRPr="34D7BB64">
        <w:t xml:space="preserve"> </w:t>
      </w:r>
      <w:r w:rsidR="58006F3F" w:rsidRPr="34D7BB64">
        <w:rPr>
          <w:lang w:val="en-US"/>
        </w:rPr>
        <w:t>A total of 2</w:t>
      </w:r>
      <w:r w:rsidR="000469A8">
        <w:rPr>
          <w:lang w:val="en-US"/>
        </w:rPr>
        <w:t>2</w:t>
      </w:r>
      <w:r w:rsidR="00D553D1">
        <w:rPr>
          <w:lang w:val="en-US"/>
        </w:rPr>
        <w:t xml:space="preserve"> </w:t>
      </w:r>
      <w:r w:rsidR="000469A8">
        <w:rPr>
          <w:lang w:val="en-US"/>
        </w:rPr>
        <w:t>(7 female)</w:t>
      </w:r>
      <w:r w:rsidR="58006F3F" w:rsidRPr="34D7BB64">
        <w:rPr>
          <w:lang w:val="en-US"/>
        </w:rPr>
        <w:t xml:space="preserve"> participants from15 members states including Burundi, Democratic Republic of Congo, Egypt, Ghana, Kenya, Lesotho, Malawi, Namibia, Nigeria, Rwanda, South Sudan, the Gambia, Uganda, </w:t>
      </w:r>
      <w:r w:rsidR="007F7696" w:rsidRPr="34D7BB64">
        <w:rPr>
          <w:lang w:val="en-US"/>
        </w:rPr>
        <w:t>Zambia,</w:t>
      </w:r>
      <w:r w:rsidR="58006F3F" w:rsidRPr="34D7BB64">
        <w:rPr>
          <w:lang w:val="en-US"/>
        </w:rPr>
        <w:t xml:space="preserve"> and Zimbabwe benefited from the training on Small Area </w:t>
      </w:r>
      <w:r w:rsidR="6F899121" w:rsidRPr="34D7BB64">
        <w:rPr>
          <w:lang w:val="en-US"/>
        </w:rPr>
        <w:t>Estimation</w:t>
      </w:r>
      <w:r w:rsidR="007F7696">
        <w:rPr>
          <w:lang w:val="en-US"/>
        </w:rPr>
        <w:t xml:space="preserve">. </w:t>
      </w:r>
    </w:p>
    <w:p w14:paraId="3D3C5439" w14:textId="38666AE6" w:rsidR="009E0E44" w:rsidRPr="00712F28" w:rsidRDefault="009E0E44" w:rsidP="000469A8">
      <w:pPr>
        <w:tabs>
          <w:tab w:val="left" w:pos="2330"/>
        </w:tabs>
        <w:ind w:left="1070"/>
        <w:jc w:val="both"/>
        <w:rPr>
          <w:color w:val="000000" w:themeColor="text1"/>
          <w:sz w:val="2"/>
          <w:szCs w:val="2"/>
        </w:rPr>
      </w:pPr>
    </w:p>
    <w:p w14:paraId="3684C09A" w14:textId="77777777" w:rsidR="0035291E" w:rsidRPr="000469A8" w:rsidRDefault="50BC0728" w:rsidP="00740B6C">
      <w:pPr>
        <w:pStyle w:val="ListParagraph"/>
        <w:numPr>
          <w:ilvl w:val="0"/>
          <w:numId w:val="3"/>
        </w:numPr>
        <w:shd w:val="clear" w:color="auto" w:fill="FFFFFF" w:themeFill="background1"/>
        <w:jc w:val="both"/>
        <w:outlineLvl w:val="0"/>
        <w:rPr>
          <w:b/>
          <w:bCs/>
          <w:color w:val="2F5496" w:themeColor="accent1" w:themeShade="BF"/>
          <w:kern w:val="36"/>
          <w:lang w:eastAsia="zh-CN"/>
        </w:rPr>
      </w:pPr>
      <w:bookmarkStart w:id="19" w:name="_Toc173157641"/>
      <w:bookmarkStart w:id="20" w:name="_Toc173157756"/>
      <w:bookmarkStart w:id="21" w:name="_Toc173157887"/>
      <w:bookmarkStart w:id="22" w:name="_Toc173157932"/>
      <w:bookmarkStart w:id="23" w:name="_Toc173157962"/>
      <w:bookmarkStart w:id="24" w:name="_Toc173157992"/>
      <w:bookmarkStart w:id="25" w:name="_Toc173158022"/>
      <w:bookmarkStart w:id="26" w:name="_Toc173161814"/>
      <w:bookmarkEnd w:id="19"/>
      <w:bookmarkEnd w:id="20"/>
      <w:bookmarkEnd w:id="21"/>
      <w:bookmarkEnd w:id="22"/>
      <w:bookmarkEnd w:id="23"/>
      <w:bookmarkEnd w:id="24"/>
      <w:bookmarkEnd w:id="25"/>
      <w:r w:rsidRPr="000469A8">
        <w:rPr>
          <w:b/>
          <w:bCs/>
          <w:color w:val="2F5496" w:themeColor="accent1" w:themeShade="BF"/>
          <w:kern w:val="36"/>
          <w:lang w:eastAsia="zh-CN"/>
        </w:rPr>
        <w:t>Capacity Development and Technical and advisory services</w:t>
      </w:r>
      <w:bookmarkEnd w:id="26"/>
    </w:p>
    <w:p w14:paraId="28EA4650" w14:textId="77777777" w:rsidR="0035291E" w:rsidRPr="000469A8" w:rsidRDefault="0035291E" w:rsidP="000469A8">
      <w:pPr>
        <w:pStyle w:val="ListParagraph"/>
        <w:shd w:val="clear" w:color="auto" w:fill="FFFFFF" w:themeFill="background1"/>
        <w:jc w:val="both"/>
        <w:outlineLvl w:val="0"/>
        <w:rPr>
          <w:sz w:val="2"/>
          <w:szCs w:val="2"/>
        </w:rPr>
      </w:pPr>
    </w:p>
    <w:p w14:paraId="372CFD0C" w14:textId="728218DF" w:rsidR="00BE3711" w:rsidRPr="00CC1475" w:rsidRDefault="2A51883B" w:rsidP="00740B6C">
      <w:pPr>
        <w:pStyle w:val="ListParagraph"/>
        <w:numPr>
          <w:ilvl w:val="0"/>
          <w:numId w:val="4"/>
        </w:numPr>
        <w:tabs>
          <w:tab w:val="left" w:pos="2330"/>
        </w:tabs>
        <w:jc w:val="both"/>
      </w:pPr>
      <w:r w:rsidRPr="34D7BB64">
        <w:rPr>
          <w:b/>
          <w:bCs/>
        </w:rPr>
        <w:t xml:space="preserve">Census Preparedness-Botswana. </w:t>
      </w:r>
      <w:r w:rsidRPr="34D7BB64">
        <w:t>The ECA supported Botswana in preparing for the upcoming census by building national capacity for a fully functional CSPro CAPI</w:t>
      </w:r>
      <w:r w:rsidR="00712F28">
        <w:t xml:space="preserve"> (Computer Assisted Personal Interview) </w:t>
      </w:r>
      <w:r w:rsidR="00712F28" w:rsidRPr="34D7BB64">
        <w:t>system</w:t>
      </w:r>
      <w:r w:rsidRPr="34D7BB64">
        <w:t xml:space="preserve">. </w:t>
      </w:r>
    </w:p>
    <w:p w14:paraId="7EA09C46" w14:textId="24CFF5FD" w:rsidR="00BE3711" w:rsidRPr="000469A8" w:rsidRDefault="00BE3711" w:rsidP="000469A8">
      <w:pPr>
        <w:pStyle w:val="ListParagraph"/>
        <w:tabs>
          <w:tab w:val="left" w:pos="2330"/>
        </w:tabs>
        <w:ind w:left="1070"/>
        <w:jc w:val="both"/>
        <w:rPr>
          <w:sz w:val="4"/>
          <w:szCs w:val="4"/>
        </w:rPr>
      </w:pPr>
    </w:p>
    <w:p w14:paraId="12D054FC" w14:textId="333BD830" w:rsidR="00BE3711" w:rsidRPr="00CC1475" w:rsidRDefault="2A51883B" w:rsidP="00740B6C">
      <w:pPr>
        <w:pStyle w:val="ListParagraph"/>
        <w:numPr>
          <w:ilvl w:val="0"/>
          <w:numId w:val="4"/>
        </w:numPr>
        <w:tabs>
          <w:tab w:val="left" w:pos="2330"/>
        </w:tabs>
        <w:jc w:val="both"/>
      </w:pPr>
      <w:r w:rsidRPr="34D7BB64">
        <w:rPr>
          <w:b/>
          <w:bCs/>
        </w:rPr>
        <w:t xml:space="preserve">Census Monitoring-Zimbabwe. </w:t>
      </w:r>
      <w:r w:rsidRPr="34D7BB64">
        <w:t xml:space="preserve">The ECA supported ZIMSTAT in strengthening real-time monitoring and accessibility of census data by deploying a customized Census Executive Monitor for the 2022 Population and Housing Census. </w:t>
      </w:r>
    </w:p>
    <w:p w14:paraId="40D00507" w14:textId="0E4E13F0" w:rsidR="00BE3711" w:rsidRPr="00CC1475" w:rsidRDefault="310E9A87" w:rsidP="00740B6C">
      <w:pPr>
        <w:pStyle w:val="ListParagraph"/>
        <w:numPr>
          <w:ilvl w:val="0"/>
          <w:numId w:val="4"/>
        </w:numPr>
        <w:tabs>
          <w:tab w:val="left" w:pos="2330"/>
        </w:tabs>
        <w:jc w:val="both"/>
      </w:pPr>
      <w:r w:rsidRPr="34D7BB64">
        <w:rPr>
          <w:b/>
          <w:bCs/>
        </w:rPr>
        <w:t xml:space="preserve">Data Verification – Kenya and Tanzania. </w:t>
      </w:r>
      <w:r w:rsidRPr="34D7BB64">
        <w:t>ECA provided advisory and technical support to Kenya and Tanzania under the EAC project to harmonize national statistical systems across National Accounts, agricultural, price, enterprise, and geospatial data.</w:t>
      </w:r>
    </w:p>
    <w:p w14:paraId="12B50682" w14:textId="74B5D631" w:rsidR="00BE3711" w:rsidRPr="00CC1475" w:rsidRDefault="310E9A87" w:rsidP="00740B6C">
      <w:pPr>
        <w:pStyle w:val="ListParagraph"/>
        <w:numPr>
          <w:ilvl w:val="0"/>
          <w:numId w:val="4"/>
        </w:numPr>
        <w:tabs>
          <w:tab w:val="left" w:pos="2330"/>
        </w:tabs>
        <w:jc w:val="both"/>
      </w:pPr>
      <w:r w:rsidRPr="34D7BB64">
        <w:rPr>
          <w:b/>
          <w:bCs/>
        </w:rPr>
        <w:t xml:space="preserve">Census Monitoring – Sierra Leone. </w:t>
      </w:r>
      <w:r w:rsidRPr="34D7BB64">
        <w:t>ECA, as part of the Independent Monitors, conducted a monitoring exercise of Sierra Leone’s Population and Housing Census pilot to assess readiness, compliance with national legislation and international standards, and overall operational effectiveness.</w:t>
      </w:r>
      <w:r w:rsidR="06FCA132" w:rsidRPr="34D7BB64">
        <w:t xml:space="preserve"> </w:t>
      </w:r>
    </w:p>
    <w:p w14:paraId="0AF8287C" w14:textId="4A0ED7E2" w:rsidR="00BE3711" w:rsidRPr="00CC1475" w:rsidRDefault="42EF4A08" w:rsidP="00740B6C">
      <w:pPr>
        <w:pStyle w:val="ListParagraph"/>
        <w:numPr>
          <w:ilvl w:val="0"/>
          <w:numId w:val="4"/>
        </w:numPr>
        <w:tabs>
          <w:tab w:val="left" w:pos="2330"/>
        </w:tabs>
        <w:jc w:val="both"/>
      </w:pPr>
      <w:r w:rsidRPr="34D7BB64">
        <w:rPr>
          <w:b/>
          <w:bCs/>
        </w:rPr>
        <w:t xml:space="preserve">Gender Statistics Action Plan – Burundi. </w:t>
      </w:r>
      <w:r w:rsidRPr="34D7BB64">
        <w:t xml:space="preserve">From 21–24 October 2025, </w:t>
      </w:r>
      <w:r w:rsidR="00685769">
        <w:t xml:space="preserve">ECA </w:t>
      </w:r>
      <w:r w:rsidRPr="34D7BB64">
        <w:t>supported INSBU</w:t>
      </w:r>
      <w:r w:rsidR="00685769">
        <w:t xml:space="preserve"> (National Statistic of Burundi)</w:t>
      </w:r>
      <w:r w:rsidRPr="34D7BB64">
        <w:t xml:space="preserve"> in reviewing and endorsing the 2026–2028 Gender Statistics Action Plan under NSDS-III, engaging national institutions, civil society, and development partners through technical and validation sessions.</w:t>
      </w:r>
    </w:p>
    <w:p w14:paraId="7A3C5C51" w14:textId="7BA187B8" w:rsidR="00BE3711" w:rsidRPr="000469A8" w:rsidRDefault="00BE3711" w:rsidP="000469A8">
      <w:pPr>
        <w:pStyle w:val="ListParagraph"/>
        <w:tabs>
          <w:tab w:val="left" w:pos="2330"/>
        </w:tabs>
        <w:ind w:left="1070"/>
        <w:jc w:val="both"/>
        <w:rPr>
          <w:sz w:val="6"/>
          <w:szCs w:val="6"/>
        </w:rPr>
      </w:pPr>
    </w:p>
    <w:p w14:paraId="5D497599" w14:textId="5CDB82E6" w:rsidR="00BE3711" w:rsidRPr="00CC1475" w:rsidRDefault="7845C075" w:rsidP="00740B6C">
      <w:pPr>
        <w:pStyle w:val="ListParagraph"/>
        <w:numPr>
          <w:ilvl w:val="0"/>
          <w:numId w:val="4"/>
        </w:numPr>
        <w:tabs>
          <w:tab w:val="left" w:pos="2330"/>
        </w:tabs>
        <w:jc w:val="both"/>
        <w:rPr>
          <w:lang w:val="en-US"/>
        </w:rPr>
      </w:pPr>
      <w:r w:rsidRPr="34D7BB64">
        <w:rPr>
          <w:b/>
          <w:bCs/>
        </w:rPr>
        <w:t>Validation workshop of South Sudan NSDS</w:t>
      </w:r>
      <w:r w:rsidR="00685769">
        <w:rPr>
          <w:b/>
          <w:bCs/>
        </w:rPr>
        <w:t>-National Strategy for Development of Statistics,</w:t>
      </w:r>
      <w:r w:rsidRPr="34D7BB64">
        <w:rPr>
          <w:b/>
          <w:bCs/>
        </w:rPr>
        <w:t xml:space="preserve"> 15-19, December</w:t>
      </w:r>
      <w:r w:rsidR="60828C08" w:rsidRPr="34D7BB64">
        <w:rPr>
          <w:b/>
          <w:bCs/>
        </w:rPr>
        <w:t>.</w:t>
      </w:r>
      <w:r w:rsidR="60828C08" w:rsidRPr="34D7BB64">
        <w:t xml:space="preserve"> ECA </w:t>
      </w:r>
      <w:r w:rsidR="60828C08" w:rsidRPr="34D7BB64">
        <w:rPr>
          <w:lang w:val="en-US"/>
        </w:rPr>
        <w:t>facilitated the presentation, review, and refinement of the draft national statistical system assessment report, which built on the South Sudan Data Maturity Assessment with sector- and state-level data maturity findings</w:t>
      </w:r>
    </w:p>
    <w:p w14:paraId="0EB74910" w14:textId="56655E6E" w:rsidR="00BE3711" w:rsidRPr="00CC1475" w:rsidRDefault="00BE3711" w:rsidP="000469A8">
      <w:pPr>
        <w:pStyle w:val="ListParagraph"/>
        <w:tabs>
          <w:tab w:val="left" w:pos="2330"/>
        </w:tabs>
        <w:ind w:left="1070"/>
        <w:jc w:val="both"/>
        <w:rPr>
          <w:sz w:val="12"/>
          <w:szCs w:val="12"/>
          <w:lang w:val="en-US"/>
        </w:rPr>
      </w:pPr>
    </w:p>
    <w:p w14:paraId="6E62F6B4" w14:textId="6C398F5D" w:rsidR="00BE3711" w:rsidRDefault="6D908811" w:rsidP="005004BF">
      <w:pPr>
        <w:pStyle w:val="ListParagraph"/>
        <w:numPr>
          <w:ilvl w:val="0"/>
          <w:numId w:val="4"/>
        </w:numPr>
        <w:tabs>
          <w:tab w:val="left" w:pos="2330"/>
        </w:tabs>
        <w:jc w:val="both"/>
        <w:rPr>
          <w:lang w:val="en-US"/>
        </w:rPr>
      </w:pPr>
      <w:r w:rsidRPr="34D7BB64">
        <w:rPr>
          <w:b/>
          <w:bCs/>
        </w:rPr>
        <w:t>Evaluation of the Assessment Report on National Statistical Systems 1–5 December, Rabat, Morocco.</w:t>
      </w:r>
      <w:r w:rsidRPr="34D7BB64">
        <w:t xml:space="preserve"> </w:t>
      </w:r>
      <w:r w:rsidRPr="34D7BB64">
        <w:rPr>
          <w:lang w:val="en-US"/>
        </w:rPr>
        <w:t>The peer review team reviewed and analyzed the self-assessment questionnaires completed by the Haut Commissariat au Plan and five other producers of official statistics</w:t>
      </w:r>
      <w:r w:rsidR="00685769">
        <w:rPr>
          <w:lang w:val="en-US"/>
        </w:rPr>
        <w:t>.</w:t>
      </w:r>
    </w:p>
    <w:p w14:paraId="12A29A38" w14:textId="5D2D7BBC" w:rsidR="005004BF" w:rsidRDefault="005004BF" w:rsidP="005004BF">
      <w:pPr>
        <w:tabs>
          <w:tab w:val="left" w:pos="2330"/>
        </w:tabs>
        <w:jc w:val="both"/>
        <w:rPr>
          <w:sz w:val="12"/>
          <w:szCs w:val="12"/>
          <w:lang w:val="en-US"/>
        </w:rPr>
      </w:pPr>
    </w:p>
    <w:p w14:paraId="34F0CD57" w14:textId="05864EC8" w:rsidR="00712F28" w:rsidRDefault="00712F28" w:rsidP="005004BF">
      <w:pPr>
        <w:tabs>
          <w:tab w:val="left" w:pos="2330"/>
        </w:tabs>
        <w:jc w:val="both"/>
        <w:rPr>
          <w:sz w:val="12"/>
          <w:szCs w:val="12"/>
          <w:lang w:val="en-US"/>
        </w:rPr>
      </w:pPr>
    </w:p>
    <w:p w14:paraId="0C890176" w14:textId="5ADC0470" w:rsidR="00712F28" w:rsidRDefault="00712F28" w:rsidP="005004BF">
      <w:pPr>
        <w:tabs>
          <w:tab w:val="left" w:pos="2330"/>
        </w:tabs>
        <w:jc w:val="both"/>
        <w:rPr>
          <w:sz w:val="12"/>
          <w:szCs w:val="12"/>
          <w:lang w:val="en-US"/>
        </w:rPr>
      </w:pPr>
    </w:p>
    <w:p w14:paraId="45A32822" w14:textId="0848C3E4" w:rsidR="00712F28" w:rsidRDefault="00712F28" w:rsidP="005004BF">
      <w:pPr>
        <w:tabs>
          <w:tab w:val="left" w:pos="2330"/>
        </w:tabs>
        <w:jc w:val="both"/>
        <w:rPr>
          <w:sz w:val="12"/>
          <w:szCs w:val="12"/>
          <w:lang w:val="en-US"/>
        </w:rPr>
      </w:pPr>
    </w:p>
    <w:p w14:paraId="6A8FB7A0" w14:textId="77777777" w:rsidR="00712F28" w:rsidRPr="00685769" w:rsidRDefault="00712F28" w:rsidP="005004BF">
      <w:pPr>
        <w:tabs>
          <w:tab w:val="left" w:pos="2330"/>
        </w:tabs>
        <w:jc w:val="both"/>
        <w:rPr>
          <w:sz w:val="12"/>
          <w:szCs w:val="12"/>
          <w:lang w:val="en-US"/>
        </w:rPr>
      </w:pPr>
    </w:p>
    <w:p w14:paraId="1664F2F4" w14:textId="7DFAA159" w:rsidR="00BE3711" w:rsidRDefault="00BE3711" w:rsidP="00740B6C">
      <w:pPr>
        <w:pStyle w:val="ListParagraph"/>
        <w:numPr>
          <w:ilvl w:val="0"/>
          <w:numId w:val="3"/>
        </w:numPr>
        <w:shd w:val="clear" w:color="auto" w:fill="FFFFFF" w:themeFill="background1"/>
        <w:ind w:hanging="357"/>
        <w:jc w:val="both"/>
        <w:outlineLvl w:val="0"/>
        <w:rPr>
          <w:b/>
          <w:bCs/>
          <w:kern w:val="36"/>
          <w:sz w:val="18"/>
          <w:szCs w:val="18"/>
          <w:lang w:eastAsia="zh-CN"/>
        </w:rPr>
      </w:pPr>
      <w:bookmarkStart w:id="27" w:name="_Toc173161815"/>
      <w:r w:rsidRPr="34D7BB64">
        <w:rPr>
          <w:b/>
          <w:bCs/>
          <w:color w:val="2F5496" w:themeColor="accent1" w:themeShade="BF"/>
          <w:kern w:val="36"/>
          <w:sz w:val="22"/>
          <w:szCs w:val="22"/>
          <w:lang w:eastAsia="zh-CN"/>
        </w:rPr>
        <w:lastRenderedPageBreak/>
        <w:t>Consensus building activities | Support</w:t>
      </w:r>
      <w:bookmarkEnd w:id="27"/>
      <w:r w:rsidRPr="34D7BB64">
        <w:rPr>
          <w:b/>
          <w:bCs/>
          <w:color w:val="2F5496" w:themeColor="accent1" w:themeShade="BF"/>
          <w:kern w:val="36"/>
          <w:sz w:val="22"/>
          <w:szCs w:val="22"/>
          <w:lang w:eastAsia="zh-CN"/>
        </w:rPr>
        <w:t xml:space="preserve"> </w:t>
      </w:r>
    </w:p>
    <w:p w14:paraId="7537EF9C" w14:textId="6C33E28A" w:rsidR="00BE6683" w:rsidRPr="00EA221D" w:rsidRDefault="4E5CB7DF" w:rsidP="00740B6C">
      <w:pPr>
        <w:pStyle w:val="NormalWeb"/>
        <w:numPr>
          <w:ilvl w:val="0"/>
          <w:numId w:val="4"/>
        </w:numPr>
        <w:spacing w:before="0" w:beforeAutospacing="0" w:after="0" w:afterAutospacing="0"/>
        <w:ind w:hanging="357"/>
        <w:jc w:val="both"/>
      </w:pPr>
      <w:r w:rsidRPr="34D7BB64">
        <w:rPr>
          <w:b/>
          <w:bCs/>
        </w:rPr>
        <w:t xml:space="preserve">African and World Statistics Day: </w:t>
      </w:r>
      <w:r w:rsidRPr="34D7BB64">
        <w:t>ECA marked World Statistics Day (20 October 2025) and African Statistics Day (18 November 2025</w:t>
      </w:r>
      <w:r w:rsidRPr="34D7BB64">
        <w:rPr>
          <w:b/>
          <w:bCs/>
        </w:rPr>
        <w:t>)</w:t>
      </w:r>
      <w:r w:rsidRPr="34D7BB64">
        <w:t>, highlighting the role of high-quality, inclusive statistics in advancing the SDGs, Agenda 2063, and evidence-based policymaking</w:t>
      </w:r>
      <w:r w:rsidR="39CA05C8" w:rsidRPr="34D7BB64">
        <w:t>.</w:t>
      </w:r>
    </w:p>
    <w:p w14:paraId="61318887" w14:textId="352F2E1B" w:rsidR="000469A8" w:rsidRPr="000469A8" w:rsidRDefault="4E5CB7DF" w:rsidP="00740B6C">
      <w:pPr>
        <w:pStyle w:val="NormalWeb"/>
        <w:numPr>
          <w:ilvl w:val="0"/>
          <w:numId w:val="4"/>
        </w:numPr>
        <w:jc w:val="both"/>
      </w:pPr>
      <w:r w:rsidRPr="34D7BB64">
        <w:rPr>
          <w:b/>
          <w:bCs/>
        </w:rPr>
        <w:t xml:space="preserve">Gender Symposium: </w:t>
      </w:r>
      <w:r w:rsidRPr="34D7BB64">
        <w:t>From 13–17 October 2025,</w:t>
      </w:r>
      <w:r w:rsidR="21ABC973" w:rsidRPr="34D7BB64">
        <w:t xml:space="preserve"> </w:t>
      </w:r>
      <w:r w:rsidR="35555579" w:rsidRPr="34D7BB64">
        <w:t>ECA represented</w:t>
      </w:r>
      <w:r w:rsidRPr="34D7BB64">
        <w:t xml:space="preserve"> Africa at the Global </w:t>
      </w:r>
      <w:r w:rsidR="00685769" w:rsidRPr="34D7BB64">
        <w:t>CRVS</w:t>
      </w:r>
      <w:r w:rsidR="00685769">
        <w:t xml:space="preserve"> (Civil Registration and Vital Statistics)</w:t>
      </w:r>
      <w:r w:rsidRPr="34D7BB64">
        <w:t xml:space="preserve"> and Gender Symposium in Nairobi, engaging around 100 delegates and contributing to discussions on population registers, </w:t>
      </w:r>
      <w:r w:rsidR="007F7696" w:rsidRPr="34D7BB64">
        <w:t>marriage,</w:t>
      </w:r>
      <w:r w:rsidRPr="34D7BB64">
        <w:t xml:space="preserve"> and divorce registration, CRVS financing, and gender-responsive vital statistics</w:t>
      </w:r>
    </w:p>
    <w:p w14:paraId="5552806A" w14:textId="09BFF9A5" w:rsidR="00BE6683" w:rsidRPr="00EA221D" w:rsidRDefault="1A3DA21E" w:rsidP="00740B6C">
      <w:pPr>
        <w:pStyle w:val="NormalWeb"/>
        <w:numPr>
          <w:ilvl w:val="0"/>
          <w:numId w:val="4"/>
        </w:numPr>
        <w:jc w:val="both"/>
        <w:rPr>
          <w:color w:val="000000" w:themeColor="text1"/>
          <w:sz w:val="18"/>
          <w:szCs w:val="18"/>
        </w:rPr>
      </w:pPr>
      <w:r w:rsidRPr="34D7BB64">
        <w:rPr>
          <w:b/>
          <w:bCs/>
          <w:lang w:eastAsia="en-US"/>
        </w:rPr>
        <w:t>AfriGEOSS Initiative 7–9 October, Dakar, Senegal.</w:t>
      </w:r>
      <w:r w:rsidRPr="34D7BB64">
        <w:rPr>
          <w:lang w:eastAsia="en-US"/>
        </w:rPr>
        <w:t xml:space="preserve"> ECA contributed to the discussion of The GEO partnership, which currently includes 31 Member states and 11 </w:t>
      </w:r>
      <w:r w:rsidR="00685769">
        <w:rPr>
          <w:lang w:eastAsia="en-US"/>
        </w:rPr>
        <w:t>p</w:t>
      </w:r>
      <w:r w:rsidRPr="34D7BB64">
        <w:rPr>
          <w:lang w:eastAsia="en-US"/>
        </w:rPr>
        <w:t xml:space="preserve">articipating </w:t>
      </w:r>
      <w:r w:rsidR="00685769">
        <w:rPr>
          <w:lang w:eastAsia="en-US"/>
        </w:rPr>
        <w:t>o</w:t>
      </w:r>
      <w:r w:rsidRPr="34D7BB64">
        <w:rPr>
          <w:lang w:eastAsia="en-US"/>
        </w:rPr>
        <w:t xml:space="preserve">rganisations from African countries, emphasizing the importance of articulating the AfriGEO mechanism with the United Nations Integrated Geospatial Information Framework (UN-IGIF) </w:t>
      </w:r>
    </w:p>
    <w:p w14:paraId="6967A043" w14:textId="7E82860C" w:rsidR="780EE547" w:rsidRPr="000469A8" w:rsidRDefault="00FF122B" w:rsidP="00712F28">
      <w:pPr>
        <w:pStyle w:val="NormalWeb"/>
        <w:numPr>
          <w:ilvl w:val="0"/>
          <w:numId w:val="4"/>
        </w:numPr>
        <w:spacing w:before="0" w:beforeAutospacing="0" w:after="0" w:afterAutospacing="0"/>
        <w:jc w:val="both"/>
        <w:rPr>
          <w:lang w:val="en-US" w:eastAsia="en-US"/>
        </w:rPr>
      </w:pPr>
      <w:r w:rsidRPr="005004BF">
        <w:rPr>
          <w:b/>
          <w:bCs/>
          <w:lang w:val="en-US" w:eastAsia="en-US"/>
        </w:rPr>
        <w:t xml:space="preserve"> </w:t>
      </w:r>
      <w:r w:rsidR="005004BF" w:rsidRPr="005004BF">
        <w:rPr>
          <w:rStyle w:val="normaltextrun"/>
          <w:b/>
          <w:bCs/>
          <w:color w:val="000000"/>
          <w:shd w:val="clear" w:color="auto" w:fill="FFFFFF"/>
        </w:rPr>
        <w:t>Committee of the Chief Statisticians of the United Nations System (CCS-UN) and 46th Session of the Committee for the Coordination of Statistical Activities (CCSA). Luxembourg, Grand-Duchy of Luxembourg, 1- 3 October 2025</w:t>
      </w:r>
      <w:r w:rsidR="005004BF">
        <w:t xml:space="preserve">. </w:t>
      </w:r>
      <w:r w:rsidR="005004BF">
        <w:rPr>
          <w:lang w:val="en-US" w:eastAsia="en-US"/>
        </w:rPr>
        <w:t>The event</w:t>
      </w:r>
      <w:r>
        <w:rPr>
          <w:lang w:val="en-US" w:eastAsia="en-US"/>
        </w:rPr>
        <w:t xml:space="preserve"> </w:t>
      </w:r>
      <w:r w:rsidRPr="00D60BE5">
        <w:t>promote</w:t>
      </w:r>
      <w:r>
        <w:t>d</w:t>
      </w:r>
      <w:r w:rsidRPr="00D60BE5">
        <w:t xml:space="preserve"> coherent, integrated UN system-wide actions that support and strengthen national, regional, and international statistical capacities</w:t>
      </w:r>
      <w:r>
        <w:t>.</w:t>
      </w:r>
      <w:r w:rsidR="00712F28">
        <w:t xml:space="preserve"> </w:t>
      </w:r>
      <w:r w:rsidRPr="00D60BE5">
        <w:t>ECA urged the CCSA to prioritize the critical issue of Data Sovereignty, which has emerged as a growing concern for countries encountering barriers to accessing donor-financed data from demographic and health surveys</w:t>
      </w:r>
      <w:r w:rsidR="00712F28">
        <w:t xml:space="preserve">. </w:t>
      </w:r>
    </w:p>
    <w:p w14:paraId="389F5098" w14:textId="5676DC6C" w:rsidR="00EA4056" w:rsidRPr="0008362B" w:rsidRDefault="00BE3711" w:rsidP="00712F28">
      <w:pPr>
        <w:pStyle w:val="ListParagraph"/>
        <w:numPr>
          <w:ilvl w:val="0"/>
          <w:numId w:val="3"/>
        </w:numPr>
        <w:shd w:val="clear" w:color="auto" w:fill="FFFFFF" w:themeFill="background1"/>
        <w:ind w:hanging="357"/>
        <w:jc w:val="both"/>
        <w:outlineLvl w:val="0"/>
        <w:rPr>
          <w:b/>
          <w:bCs/>
          <w:color w:val="2F5496" w:themeColor="accent1" w:themeShade="BF"/>
          <w:kern w:val="36"/>
          <w:sz w:val="22"/>
          <w:szCs w:val="22"/>
          <w:lang w:eastAsia="zh-CN"/>
        </w:rPr>
      </w:pPr>
      <w:r w:rsidRPr="34D7BB64">
        <w:rPr>
          <w:b/>
          <w:bCs/>
          <w:color w:val="2F5496" w:themeColor="accent1" w:themeShade="BF"/>
          <w:kern w:val="36"/>
          <w:sz w:val="22"/>
          <w:szCs w:val="22"/>
          <w:lang w:eastAsia="zh-CN"/>
        </w:rPr>
        <w:t>Key Upcoming Events (</w:t>
      </w:r>
      <w:r w:rsidR="4D3927EC" w:rsidRPr="34D7BB64">
        <w:rPr>
          <w:b/>
          <w:bCs/>
          <w:color w:val="2F5496" w:themeColor="accent1" w:themeShade="BF"/>
          <w:kern w:val="36"/>
          <w:sz w:val="22"/>
          <w:szCs w:val="22"/>
          <w:lang w:eastAsia="zh-CN"/>
        </w:rPr>
        <w:t>January</w:t>
      </w:r>
      <w:r w:rsidR="001F1224" w:rsidRPr="34D7BB64">
        <w:rPr>
          <w:b/>
          <w:bCs/>
          <w:color w:val="2F5496" w:themeColor="accent1" w:themeShade="BF"/>
          <w:kern w:val="36"/>
          <w:sz w:val="22"/>
          <w:szCs w:val="22"/>
          <w:lang w:eastAsia="zh-CN"/>
        </w:rPr>
        <w:t xml:space="preserve"> </w:t>
      </w:r>
      <w:r w:rsidRPr="34D7BB64">
        <w:rPr>
          <w:b/>
          <w:bCs/>
          <w:color w:val="2F5496" w:themeColor="accent1" w:themeShade="BF"/>
          <w:kern w:val="36"/>
          <w:sz w:val="22"/>
          <w:szCs w:val="22"/>
          <w:lang w:eastAsia="zh-CN"/>
        </w:rPr>
        <w:t xml:space="preserve">– </w:t>
      </w:r>
      <w:r w:rsidR="3FC5901C" w:rsidRPr="34D7BB64">
        <w:rPr>
          <w:b/>
          <w:bCs/>
          <w:color w:val="2F5496" w:themeColor="accent1" w:themeShade="BF"/>
          <w:kern w:val="36"/>
          <w:sz w:val="22"/>
          <w:szCs w:val="22"/>
          <w:lang w:eastAsia="zh-CN"/>
        </w:rPr>
        <w:t xml:space="preserve">March </w:t>
      </w:r>
      <w:r w:rsidR="00AC511C" w:rsidRPr="34D7BB64">
        <w:rPr>
          <w:b/>
          <w:bCs/>
          <w:color w:val="2F5496" w:themeColor="accent1" w:themeShade="BF"/>
          <w:kern w:val="36"/>
          <w:sz w:val="22"/>
          <w:szCs w:val="22"/>
          <w:lang w:eastAsia="zh-CN"/>
        </w:rPr>
        <w:t>202</w:t>
      </w:r>
      <w:r w:rsidR="47C333C3" w:rsidRPr="34D7BB64">
        <w:rPr>
          <w:b/>
          <w:bCs/>
          <w:color w:val="2F5496" w:themeColor="accent1" w:themeShade="BF"/>
          <w:kern w:val="36"/>
          <w:sz w:val="22"/>
          <w:szCs w:val="22"/>
          <w:lang w:eastAsia="zh-CN"/>
        </w:rPr>
        <w:t>6</w:t>
      </w:r>
      <w:r w:rsidRPr="34D7BB64">
        <w:rPr>
          <w:b/>
          <w:bCs/>
          <w:color w:val="2F5496" w:themeColor="accent1" w:themeShade="BF"/>
          <w:kern w:val="36"/>
          <w:sz w:val="22"/>
          <w:szCs w:val="22"/>
          <w:lang w:eastAsia="zh-CN"/>
        </w:rPr>
        <w:t xml:space="preserve">) </w:t>
      </w:r>
    </w:p>
    <w:p w14:paraId="60F4799D" w14:textId="3B2742B8" w:rsidR="000469A8" w:rsidRDefault="006276C8" w:rsidP="00740B6C">
      <w:pPr>
        <w:pStyle w:val="NormalWeb"/>
        <w:numPr>
          <w:ilvl w:val="0"/>
          <w:numId w:val="2"/>
        </w:numPr>
        <w:spacing w:before="0" w:beforeAutospacing="0" w:after="0" w:afterAutospacing="0"/>
        <w:ind w:left="851" w:hanging="425"/>
        <w:jc w:val="both"/>
        <w:rPr>
          <w:lang w:eastAsia="en-US"/>
        </w:rPr>
      </w:pPr>
      <w:r w:rsidRPr="006276C8">
        <w:rPr>
          <w:lang w:eastAsia="en-US"/>
        </w:rPr>
        <w:t xml:space="preserve">Second Capacity Development Workshop on “Spatial Insights: Empowering Decision-Making and Transforming Knowledge into Action with Geospatial Intelligence.” </w:t>
      </w:r>
      <w:r w:rsidRPr="34D7BB64">
        <w:rPr>
          <w:lang w:eastAsia="en-US"/>
        </w:rPr>
        <w:t>–</w:t>
      </w:r>
      <w:r>
        <w:rPr>
          <w:lang w:eastAsia="en-US"/>
        </w:rPr>
        <w:t xml:space="preserve"> </w:t>
      </w:r>
      <w:r w:rsidRPr="006276C8">
        <w:rPr>
          <w:lang w:eastAsia="en-US"/>
        </w:rPr>
        <w:t>2 to 27 February 2025, Asmara, Eritrea</w:t>
      </w:r>
    </w:p>
    <w:p w14:paraId="6DD10F6D" w14:textId="1206402F" w:rsidR="000469A8" w:rsidRDefault="00AC4C5B" w:rsidP="00740B6C">
      <w:pPr>
        <w:pStyle w:val="NormalWeb"/>
        <w:numPr>
          <w:ilvl w:val="0"/>
          <w:numId w:val="2"/>
        </w:numPr>
        <w:spacing w:before="0" w:beforeAutospacing="0" w:after="0" w:afterAutospacing="0"/>
        <w:ind w:left="851" w:hanging="425"/>
        <w:jc w:val="both"/>
        <w:rPr>
          <w:lang w:eastAsia="en-US"/>
        </w:rPr>
      </w:pPr>
      <w:r w:rsidRPr="00011855">
        <w:rPr>
          <w:lang w:eastAsia="en-US"/>
        </w:rPr>
        <w:t>National Validation Forum to adopt and publish the country-Led Action Plan on Integrated Geospatial Information Framework in Mali</w:t>
      </w:r>
      <w:r w:rsidRPr="00011855" w:rsidDel="00D553D1">
        <w:rPr>
          <w:lang w:eastAsia="en-US"/>
        </w:rPr>
        <w:t xml:space="preserve"> </w:t>
      </w:r>
      <w:r w:rsidR="72FD5FCB" w:rsidRPr="34D7BB64">
        <w:rPr>
          <w:lang w:eastAsia="en-US"/>
        </w:rPr>
        <w:t>–</w:t>
      </w:r>
      <w:r w:rsidR="00DC77F7">
        <w:rPr>
          <w:lang w:eastAsia="en-US"/>
        </w:rPr>
        <w:t xml:space="preserve">Bamako, </w:t>
      </w:r>
      <w:r w:rsidR="72FD5FCB" w:rsidRPr="34D7BB64">
        <w:rPr>
          <w:lang w:eastAsia="en-US"/>
        </w:rPr>
        <w:t>Mali, 09–13 February</w:t>
      </w:r>
    </w:p>
    <w:p w14:paraId="412BA007" w14:textId="78EA2C16" w:rsidR="000469A8" w:rsidRDefault="72FD5FCB" w:rsidP="00740B6C">
      <w:pPr>
        <w:pStyle w:val="NormalWeb"/>
        <w:numPr>
          <w:ilvl w:val="0"/>
          <w:numId w:val="2"/>
        </w:numPr>
        <w:spacing w:before="0" w:beforeAutospacing="0" w:after="0" w:afterAutospacing="0"/>
        <w:ind w:left="851" w:hanging="425"/>
        <w:jc w:val="both"/>
        <w:rPr>
          <w:lang w:eastAsia="en-US"/>
        </w:rPr>
      </w:pPr>
      <w:r w:rsidRPr="34D7BB64">
        <w:rPr>
          <w:lang w:eastAsia="en-US"/>
        </w:rPr>
        <w:t>Capacity Building on NADABAS</w:t>
      </w:r>
      <w:r w:rsidR="00685769">
        <w:rPr>
          <w:lang w:eastAsia="en-US"/>
        </w:rPr>
        <w:t xml:space="preserve"> (</w:t>
      </w:r>
      <w:r w:rsidR="00FB3FB7">
        <w:t>National Accounts Database System</w:t>
      </w:r>
      <w:r w:rsidR="00685769">
        <w:t>)</w:t>
      </w:r>
      <w:r w:rsidRPr="34D7BB64">
        <w:rPr>
          <w:lang w:eastAsia="en-US"/>
        </w:rPr>
        <w:t xml:space="preserve"> – Asmara, Eritrea, 19–30 January</w:t>
      </w:r>
    </w:p>
    <w:p w14:paraId="736C6C83" w14:textId="77777777" w:rsidR="000469A8" w:rsidRDefault="72FD5FCB" w:rsidP="00740B6C">
      <w:pPr>
        <w:pStyle w:val="NormalWeb"/>
        <w:numPr>
          <w:ilvl w:val="0"/>
          <w:numId w:val="2"/>
        </w:numPr>
        <w:spacing w:before="0" w:beforeAutospacing="0" w:after="0" w:afterAutospacing="0"/>
        <w:ind w:left="851" w:hanging="425"/>
        <w:jc w:val="both"/>
        <w:rPr>
          <w:lang w:eastAsia="en-US"/>
        </w:rPr>
      </w:pPr>
      <w:r w:rsidRPr="34D7BB64">
        <w:rPr>
          <w:lang w:eastAsia="en-US"/>
        </w:rPr>
        <w:t>Africa Group on National Accounts and Price Statistics (SHaSA STG-4) – Tunisia, 04–06 February</w:t>
      </w:r>
    </w:p>
    <w:p w14:paraId="147F57E8" w14:textId="77777777" w:rsidR="000469A8" w:rsidRDefault="72FD5FCB" w:rsidP="00740B6C">
      <w:pPr>
        <w:pStyle w:val="NormalWeb"/>
        <w:numPr>
          <w:ilvl w:val="0"/>
          <w:numId w:val="2"/>
        </w:numPr>
        <w:spacing w:before="0" w:beforeAutospacing="0" w:after="0" w:afterAutospacing="0"/>
        <w:ind w:left="851" w:hanging="425"/>
        <w:jc w:val="both"/>
        <w:rPr>
          <w:lang w:eastAsia="en-US"/>
        </w:rPr>
      </w:pPr>
      <w:r w:rsidRPr="34D7BB64">
        <w:rPr>
          <w:lang w:eastAsia="en-US"/>
        </w:rPr>
        <w:t>Specialized Technical Group (STG-3) on Money and Finance – Cotonou, Benin, 09–11 February</w:t>
      </w:r>
    </w:p>
    <w:p w14:paraId="4AE41412" w14:textId="2B59098C" w:rsidR="000469A8" w:rsidRDefault="005004BF" w:rsidP="00740B6C">
      <w:pPr>
        <w:pStyle w:val="NormalWeb"/>
        <w:numPr>
          <w:ilvl w:val="0"/>
          <w:numId w:val="2"/>
        </w:numPr>
        <w:spacing w:before="0" w:beforeAutospacing="0" w:after="0" w:afterAutospacing="0"/>
        <w:ind w:left="851" w:hanging="425"/>
        <w:jc w:val="both"/>
        <w:rPr>
          <w:lang w:eastAsia="en-US"/>
        </w:rPr>
      </w:pPr>
      <w:r>
        <w:rPr>
          <w:lang w:eastAsia="en-US"/>
        </w:rPr>
        <w:t>Civil Registration and Vital Statistics-</w:t>
      </w:r>
      <w:r w:rsidR="72FD5FCB" w:rsidRPr="34D7BB64">
        <w:rPr>
          <w:lang w:eastAsia="en-US"/>
        </w:rPr>
        <w:t xml:space="preserve">CRVS </w:t>
      </w:r>
      <w:r>
        <w:rPr>
          <w:lang w:eastAsia="en-US"/>
        </w:rPr>
        <w:t>“</w:t>
      </w:r>
      <w:r w:rsidR="72FD5FCB" w:rsidRPr="34D7BB64">
        <w:rPr>
          <w:lang w:eastAsia="en-US"/>
        </w:rPr>
        <w:t>R</w:t>
      </w:r>
      <w:r>
        <w:rPr>
          <w:lang w:eastAsia="en-US"/>
        </w:rPr>
        <w:t>” Pipeline</w:t>
      </w:r>
      <w:r w:rsidR="72FD5FCB" w:rsidRPr="34D7BB64">
        <w:rPr>
          <w:lang w:eastAsia="en-US"/>
        </w:rPr>
        <w:t xml:space="preserve"> Training – Rwanda – Kigali, 26–30 January</w:t>
      </w:r>
    </w:p>
    <w:p w14:paraId="4A82F0AB" w14:textId="033E9B9C" w:rsidR="000469A8" w:rsidRDefault="005004BF" w:rsidP="00740B6C">
      <w:pPr>
        <w:pStyle w:val="NormalWeb"/>
        <w:numPr>
          <w:ilvl w:val="0"/>
          <w:numId w:val="2"/>
        </w:numPr>
        <w:spacing w:before="0" w:beforeAutospacing="0" w:after="0" w:afterAutospacing="0"/>
        <w:ind w:left="851" w:hanging="425"/>
        <w:jc w:val="both"/>
        <w:rPr>
          <w:lang w:eastAsia="en-US"/>
        </w:rPr>
      </w:pPr>
      <w:r>
        <w:rPr>
          <w:lang w:eastAsia="en-US"/>
        </w:rPr>
        <w:t>Civil Registration and Vital Statistics-</w:t>
      </w:r>
      <w:r w:rsidRPr="34D7BB64">
        <w:rPr>
          <w:lang w:eastAsia="en-US"/>
        </w:rPr>
        <w:t xml:space="preserve">CRVS </w:t>
      </w:r>
      <w:r>
        <w:rPr>
          <w:lang w:eastAsia="en-US"/>
        </w:rPr>
        <w:t>“</w:t>
      </w:r>
      <w:r w:rsidRPr="34D7BB64">
        <w:rPr>
          <w:lang w:eastAsia="en-US"/>
        </w:rPr>
        <w:t>R</w:t>
      </w:r>
      <w:r>
        <w:rPr>
          <w:lang w:eastAsia="en-US"/>
        </w:rPr>
        <w:t>” Pipeline</w:t>
      </w:r>
      <w:r w:rsidRPr="34D7BB64">
        <w:rPr>
          <w:lang w:eastAsia="en-US"/>
        </w:rPr>
        <w:t xml:space="preserve"> Training </w:t>
      </w:r>
      <w:r w:rsidR="72FD5FCB" w:rsidRPr="34D7BB64">
        <w:rPr>
          <w:lang w:eastAsia="en-US"/>
        </w:rPr>
        <w:t>– Togo – 12–16 January</w:t>
      </w:r>
    </w:p>
    <w:p w14:paraId="76FA06A6" w14:textId="77777777" w:rsidR="000469A8" w:rsidRDefault="72FD5FCB" w:rsidP="00740B6C">
      <w:pPr>
        <w:pStyle w:val="NormalWeb"/>
        <w:numPr>
          <w:ilvl w:val="0"/>
          <w:numId w:val="2"/>
        </w:numPr>
        <w:spacing w:before="0" w:beforeAutospacing="0" w:after="0" w:afterAutospacing="0"/>
        <w:ind w:left="851" w:hanging="425"/>
        <w:jc w:val="both"/>
        <w:rPr>
          <w:lang w:eastAsia="en-US"/>
        </w:rPr>
      </w:pPr>
      <w:r w:rsidRPr="34D7BB64">
        <w:rPr>
          <w:lang w:eastAsia="en-US"/>
        </w:rPr>
        <w:t>Population and Housing Census: Tablet Acquisition for the 2026 Census – Maseru, Lesotho, 05–09 January</w:t>
      </w:r>
    </w:p>
    <w:p w14:paraId="2D4F9C32" w14:textId="70DE14A6" w:rsidR="780EE547" w:rsidRDefault="72FD5FCB" w:rsidP="00740B6C">
      <w:pPr>
        <w:pStyle w:val="NormalWeb"/>
        <w:numPr>
          <w:ilvl w:val="0"/>
          <w:numId w:val="2"/>
        </w:numPr>
        <w:spacing w:before="0" w:beforeAutospacing="0" w:after="0" w:afterAutospacing="0"/>
        <w:ind w:left="851" w:hanging="425"/>
        <w:jc w:val="both"/>
        <w:rPr>
          <w:lang w:eastAsia="en-US"/>
        </w:rPr>
      </w:pPr>
      <w:r w:rsidRPr="34D7BB64">
        <w:rPr>
          <w:lang w:eastAsia="en-US"/>
        </w:rPr>
        <w:t>Support to 2026 Population and Housing Census – Sierra Leone, 02–06 February</w:t>
      </w:r>
      <w:bookmarkStart w:id="28" w:name="_Toc173161817"/>
    </w:p>
    <w:p w14:paraId="12CB185F" w14:textId="77777777" w:rsidR="000469A8" w:rsidRPr="00712F28" w:rsidRDefault="000469A8" w:rsidP="000469A8">
      <w:pPr>
        <w:pStyle w:val="NormalWeb"/>
        <w:spacing w:before="0" w:beforeAutospacing="0" w:after="0" w:afterAutospacing="0"/>
        <w:ind w:left="851"/>
        <w:jc w:val="both"/>
        <w:rPr>
          <w:sz w:val="2"/>
          <w:szCs w:val="2"/>
          <w:lang w:eastAsia="en-US"/>
        </w:rPr>
      </w:pPr>
    </w:p>
    <w:p w14:paraId="0310DF05" w14:textId="639059D3" w:rsidR="00BE3711" w:rsidRPr="0008362B" w:rsidRDefault="00BE3711" w:rsidP="00740B6C">
      <w:pPr>
        <w:pStyle w:val="ListParagraph"/>
        <w:numPr>
          <w:ilvl w:val="0"/>
          <w:numId w:val="3"/>
        </w:numPr>
        <w:shd w:val="clear" w:color="auto" w:fill="FFFFFF" w:themeFill="background1"/>
        <w:ind w:hanging="357"/>
        <w:jc w:val="both"/>
        <w:outlineLvl w:val="0"/>
        <w:rPr>
          <w:b/>
          <w:bCs/>
          <w:color w:val="2F5496" w:themeColor="accent1" w:themeShade="BF"/>
          <w:kern w:val="36"/>
          <w:sz w:val="22"/>
          <w:szCs w:val="22"/>
          <w:lang w:eastAsia="zh-CN"/>
        </w:rPr>
      </w:pPr>
      <w:r w:rsidRPr="34D7BB64">
        <w:rPr>
          <w:b/>
          <w:bCs/>
          <w:color w:val="2F5496" w:themeColor="accent1" w:themeShade="BF"/>
          <w:kern w:val="36"/>
          <w:sz w:val="22"/>
          <w:szCs w:val="22"/>
          <w:lang w:eastAsia="zh-CN"/>
        </w:rPr>
        <w:t>New Partnerships</w:t>
      </w:r>
      <w:bookmarkEnd w:id="28"/>
    </w:p>
    <w:p w14:paraId="39389C42" w14:textId="1B9F5CE0" w:rsidR="06A28F0F" w:rsidRDefault="06A28F0F" w:rsidP="000469A8">
      <w:pPr>
        <w:pStyle w:val="NormalWeb"/>
        <w:numPr>
          <w:ilvl w:val="0"/>
          <w:numId w:val="1"/>
        </w:numPr>
        <w:spacing w:before="0" w:beforeAutospacing="0" w:after="0" w:afterAutospacing="0"/>
        <w:ind w:left="1070" w:hanging="357"/>
        <w:jc w:val="both"/>
        <w:rPr>
          <w:lang w:eastAsia="en-US"/>
        </w:rPr>
      </w:pPr>
      <w:r w:rsidRPr="34D7BB64">
        <w:rPr>
          <w:lang w:eastAsia="en-US"/>
        </w:rPr>
        <w:t xml:space="preserve">No new Partnerships </w:t>
      </w:r>
    </w:p>
    <w:p w14:paraId="20E71FB8" w14:textId="4064CFB6" w:rsidR="00FC457C" w:rsidRPr="003A1BD2" w:rsidRDefault="00FC457C" w:rsidP="000469A8">
      <w:pPr>
        <w:tabs>
          <w:tab w:val="left" w:pos="2330"/>
        </w:tabs>
        <w:jc w:val="both"/>
        <w:rPr>
          <w:sz w:val="18"/>
          <w:szCs w:val="18"/>
        </w:rPr>
      </w:pPr>
    </w:p>
    <w:sectPr w:rsidR="00FC457C" w:rsidRPr="003A1BD2" w:rsidSect="00464CF2">
      <w:headerReference w:type="default" r:id="rId17"/>
      <w:pgSz w:w="12240" w:h="15840"/>
      <w:pgMar w:top="1247" w:right="1750" w:bottom="124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D3EE1" w14:textId="77777777" w:rsidR="004B5121" w:rsidRDefault="004B5121">
      <w:r>
        <w:separator/>
      </w:r>
    </w:p>
  </w:endnote>
  <w:endnote w:type="continuationSeparator" w:id="0">
    <w:p w14:paraId="0CA26192" w14:textId="77777777" w:rsidR="004B5121" w:rsidRDefault="004B5121">
      <w:r>
        <w:continuationSeparator/>
      </w:r>
    </w:p>
  </w:endnote>
  <w:endnote w:type="continuationNotice" w:id="1">
    <w:p w14:paraId="452B01F8" w14:textId="77777777" w:rsidR="004B5121" w:rsidRDefault="004B5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57E7B" w14:textId="77777777" w:rsidR="00C034E0" w:rsidRPr="00D10E6D" w:rsidRDefault="00000000" w:rsidP="00456049">
    <w:pPr>
      <w:tabs>
        <w:tab w:val="center" w:pos="4153"/>
        <w:tab w:val="right" w:pos="8306"/>
      </w:tabs>
    </w:pPr>
    <w:r>
      <w:rPr>
        <w:rFonts w:ascii="Arial Narrow" w:hAnsi="Arial Narrow" w:cs="Courier New"/>
        <w:sz w:val="20"/>
        <w:szCs w:val="20"/>
        <w:lang w:eastAsia="en-GB"/>
      </w:rPr>
      <w:pict w14:anchorId="796F9CF6">
        <v:rect id="_x0000_i1025" style="width:410.3pt;height:1.55pt" o:hrpct="988" o:hralign="center" o:hrstd="t" o:hr="t" fillcolor="#a0a0a0" stroked="f"/>
      </w:pict>
    </w:r>
  </w:p>
  <w:p w14:paraId="04320AEE" w14:textId="77777777" w:rsidR="00C034E0" w:rsidRPr="00D10E6D" w:rsidRDefault="00C034E0" w:rsidP="6134756F">
    <w:pPr>
      <w:tabs>
        <w:tab w:val="center" w:pos="4153"/>
        <w:tab w:val="right" w:pos="8306"/>
      </w:tabs>
      <w:rPr>
        <w:rFonts w:ascii="Arial" w:hAnsi="Arial"/>
        <w:sz w:val="20"/>
        <w:szCs w:val="20"/>
        <w:lang w:eastAsia="en-GB"/>
      </w:rPr>
    </w:pPr>
    <w:r w:rsidRPr="780EE547">
      <w:rPr>
        <w:rFonts w:ascii="Tw Cen MT" w:hAnsi="Tw Cen MT" w:cs="Courier New"/>
        <w:sz w:val="20"/>
        <w:szCs w:val="20"/>
        <w:lang w:eastAsia="en-GB"/>
      </w:rPr>
      <w:t xml:space="preserve">2025 | Ambassadors’ Quarterly Briefing | October – December 2025 | African Centre for Statistics           </w:t>
    </w:r>
    <w:r w:rsidRPr="780EE547">
      <w:rPr>
        <w:rFonts w:ascii="Arial" w:hAnsi="Arial"/>
        <w:color w:val="000000" w:themeColor="text1"/>
        <w:sz w:val="20"/>
        <w:szCs w:val="20"/>
        <w:lang w:eastAsia="en-GB"/>
      </w:rPr>
      <w:t>Page</w:t>
    </w:r>
    <w:r w:rsidRPr="780EE547">
      <w:rPr>
        <w:rFonts w:ascii="Arial" w:hAnsi="Arial"/>
        <w:sz w:val="20"/>
        <w:szCs w:val="20"/>
        <w:lang w:eastAsia="en-GB"/>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CC6D2" w14:textId="77777777" w:rsidR="004B5121" w:rsidRDefault="004B5121">
      <w:r>
        <w:separator/>
      </w:r>
    </w:p>
  </w:footnote>
  <w:footnote w:type="continuationSeparator" w:id="0">
    <w:p w14:paraId="3745A96D" w14:textId="77777777" w:rsidR="004B5121" w:rsidRDefault="004B5121">
      <w:r>
        <w:continuationSeparator/>
      </w:r>
    </w:p>
  </w:footnote>
  <w:footnote w:type="continuationNotice" w:id="1">
    <w:p w14:paraId="3073C90A" w14:textId="77777777" w:rsidR="004B5121" w:rsidRDefault="004B51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C034E0" w14:paraId="62972DF6" w14:textId="77777777" w:rsidTr="0E2AFE0D">
      <w:trPr>
        <w:trHeight w:val="300"/>
      </w:trPr>
      <w:tc>
        <w:tcPr>
          <w:tcW w:w="3120" w:type="dxa"/>
        </w:tcPr>
        <w:p w14:paraId="68BD06C3" w14:textId="77777777" w:rsidR="00C034E0" w:rsidRDefault="00C034E0" w:rsidP="0E2AFE0D">
          <w:pPr>
            <w:pStyle w:val="Header"/>
            <w:ind w:left="-115"/>
          </w:pPr>
        </w:p>
      </w:tc>
      <w:tc>
        <w:tcPr>
          <w:tcW w:w="3120" w:type="dxa"/>
        </w:tcPr>
        <w:p w14:paraId="36B959AB" w14:textId="77777777" w:rsidR="00C034E0" w:rsidRDefault="00C034E0" w:rsidP="0E2AFE0D">
          <w:pPr>
            <w:pStyle w:val="Header"/>
            <w:jc w:val="center"/>
          </w:pPr>
        </w:p>
      </w:tc>
      <w:tc>
        <w:tcPr>
          <w:tcW w:w="3120" w:type="dxa"/>
        </w:tcPr>
        <w:p w14:paraId="7FB1C9C9" w14:textId="77777777" w:rsidR="00C034E0" w:rsidRDefault="00C034E0" w:rsidP="0E2AFE0D">
          <w:pPr>
            <w:pStyle w:val="Header"/>
            <w:ind w:right="-115"/>
            <w:jc w:val="right"/>
          </w:pPr>
        </w:p>
      </w:tc>
    </w:tr>
  </w:tbl>
  <w:p w14:paraId="5CCB1FA4" w14:textId="77777777" w:rsidR="00C034E0" w:rsidRDefault="00C034E0" w:rsidP="0E2AF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E2AFE0D" w14:paraId="32284384" w14:textId="77777777" w:rsidTr="0E2AFE0D">
      <w:trPr>
        <w:trHeight w:val="300"/>
      </w:trPr>
      <w:tc>
        <w:tcPr>
          <w:tcW w:w="3120" w:type="dxa"/>
        </w:tcPr>
        <w:p w14:paraId="2DD76EBD" w14:textId="784FC5CF" w:rsidR="0E2AFE0D" w:rsidRDefault="0E2AFE0D" w:rsidP="0E2AFE0D">
          <w:pPr>
            <w:pStyle w:val="Header"/>
            <w:ind w:left="-115"/>
          </w:pPr>
        </w:p>
      </w:tc>
      <w:tc>
        <w:tcPr>
          <w:tcW w:w="3120" w:type="dxa"/>
        </w:tcPr>
        <w:p w14:paraId="74262BA2" w14:textId="3EDC9330" w:rsidR="0E2AFE0D" w:rsidRDefault="0E2AFE0D" w:rsidP="0E2AFE0D">
          <w:pPr>
            <w:pStyle w:val="Header"/>
            <w:jc w:val="center"/>
          </w:pPr>
        </w:p>
      </w:tc>
      <w:tc>
        <w:tcPr>
          <w:tcW w:w="3120" w:type="dxa"/>
        </w:tcPr>
        <w:p w14:paraId="4BDBE0CC" w14:textId="1A6E8C85" w:rsidR="0E2AFE0D" w:rsidRDefault="0E2AFE0D" w:rsidP="0E2AFE0D">
          <w:pPr>
            <w:pStyle w:val="Header"/>
            <w:ind w:right="-115"/>
            <w:jc w:val="right"/>
          </w:pPr>
        </w:p>
      </w:tc>
    </w:tr>
  </w:tbl>
  <w:p w14:paraId="05464CF1" w14:textId="5C60797C" w:rsidR="0E2AFE0D" w:rsidRDefault="0E2AFE0D" w:rsidP="0E2AF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E35E6"/>
    <w:multiLevelType w:val="hybridMultilevel"/>
    <w:tmpl w:val="23561C74"/>
    <w:lvl w:ilvl="0" w:tplc="08090001">
      <w:start w:val="1"/>
      <w:numFmt w:val="bullet"/>
      <w:lvlText w:val=""/>
      <w:lvlJc w:val="left"/>
      <w:pPr>
        <w:ind w:left="644" w:hanging="360"/>
      </w:pPr>
      <w:rPr>
        <w:rFonts w:ascii="Symbol" w:hAnsi="Symbol" w:hint="default"/>
      </w:rPr>
    </w:lvl>
    <w:lvl w:ilvl="1" w:tplc="978C7F76">
      <w:start w:val="1"/>
      <w:numFmt w:val="bullet"/>
      <w:lvlText w:val="o"/>
      <w:lvlJc w:val="left"/>
      <w:pPr>
        <w:ind w:left="1440" w:hanging="360"/>
      </w:pPr>
      <w:rPr>
        <w:rFonts w:ascii="Courier New" w:hAnsi="Courier New" w:hint="default"/>
      </w:rPr>
    </w:lvl>
    <w:lvl w:ilvl="2" w:tplc="4238D2CA">
      <w:start w:val="1"/>
      <w:numFmt w:val="bullet"/>
      <w:lvlText w:val=""/>
      <w:lvlJc w:val="left"/>
      <w:pPr>
        <w:ind w:left="2160" w:hanging="360"/>
      </w:pPr>
      <w:rPr>
        <w:rFonts w:ascii="Wingdings" w:hAnsi="Wingdings" w:hint="default"/>
      </w:rPr>
    </w:lvl>
    <w:lvl w:ilvl="3" w:tplc="0D8AE422">
      <w:start w:val="1"/>
      <w:numFmt w:val="bullet"/>
      <w:lvlText w:val=""/>
      <w:lvlJc w:val="left"/>
      <w:pPr>
        <w:ind w:left="2880" w:hanging="360"/>
      </w:pPr>
      <w:rPr>
        <w:rFonts w:ascii="Symbol" w:hAnsi="Symbol" w:hint="default"/>
      </w:rPr>
    </w:lvl>
    <w:lvl w:ilvl="4" w:tplc="A208B30A">
      <w:start w:val="1"/>
      <w:numFmt w:val="bullet"/>
      <w:lvlText w:val="o"/>
      <w:lvlJc w:val="left"/>
      <w:pPr>
        <w:ind w:left="3600" w:hanging="360"/>
      </w:pPr>
      <w:rPr>
        <w:rFonts w:ascii="Courier New" w:hAnsi="Courier New" w:hint="default"/>
      </w:rPr>
    </w:lvl>
    <w:lvl w:ilvl="5" w:tplc="FD20424C">
      <w:start w:val="1"/>
      <w:numFmt w:val="bullet"/>
      <w:lvlText w:val=""/>
      <w:lvlJc w:val="left"/>
      <w:pPr>
        <w:ind w:left="4320" w:hanging="360"/>
      </w:pPr>
      <w:rPr>
        <w:rFonts w:ascii="Wingdings" w:hAnsi="Wingdings" w:hint="default"/>
      </w:rPr>
    </w:lvl>
    <w:lvl w:ilvl="6" w:tplc="AFACCD28">
      <w:start w:val="1"/>
      <w:numFmt w:val="bullet"/>
      <w:lvlText w:val=""/>
      <w:lvlJc w:val="left"/>
      <w:pPr>
        <w:ind w:left="5040" w:hanging="360"/>
      </w:pPr>
      <w:rPr>
        <w:rFonts w:ascii="Symbol" w:hAnsi="Symbol" w:hint="default"/>
      </w:rPr>
    </w:lvl>
    <w:lvl w:ilvl="7" w:tplc="F1F25DDA">
      <w:start w:val="1"/>
      <w:numFmt w:val="bullet"/>
      <w:lvlText w:val="o"/>
      <w:lvlJc w:val="left"/>
      <w:pPr>
        <w:ind w:left="5760" w:hanging="360"/>
      </w:pPr>
      <w:rPr>
        <w:rFonts w:ascii="Courier New" w:hAnsi="Courier New" w:hint="default"/>
      </w:rPr>
    </w:lvl>
    <w:lvl w:ilvl="8" w:tplc="0E842AB8">
      <w:start w:val="1"/>
      <w:numFmt w:val="bullet"/>
      <w:lvlText w:val=""/>
      <w:lvlJc w:val="left"/>
      <w:pPr>
        <w:ind w:left="6480" w:hanging="360"/>
      </w:pPr>
      <w:rPr>
        <w:rFonts w:ascii="Wingdings" w:hAnsi="Wingdings" w:hint="default"/>
      </w:rPr>
    </w:lvl>
  </w:abstractNum>
  <w:abstractNum w:abstractNumId="1" w15:restartNumberingAfterBreak="0">
    <w:nsid w:val="5C236439"/>
    <w:multiLevelType w:val="hybridMultilevel"/>
    <w:tmpl w:val="05166B2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67871DF8"/>
    <w:multiLevelType w:val="hybridMultilevel"/>
    <w:tmpl w:val="83C0DCA2"/>
    <w:lvl w:ilvl="0" w:tplc="DBB8C994">
      <w:start w:val="1"/>
      <w:numFmt w:val="bullet"/>
      <w:lvlText w:val=""/>
      <w:lvlJc w:val="left"/>
      <w:pPr>
        <w:ind w:left="1080" w:hanging="360"/>
      </w:pPr>
      <w:rPr>
        <w:rFonts w:ascii="Symbol" w:hAnsi="Symbol" w:hint="default"/>
      </w:rPr>
    </w:lvl>
    <w:lvl w:ilvl="1" w:tplc="E090B5EC">
      <w:start w:val="1"/>
      <w:numFmt w:val="bullet"/>
      <w:lvlText w:val="o"/>
      <w:lvlJc w:val="left"/>
      <w:pPr>
        <w:ind w:left="1800" w:hanging="360"/>
      </w:pPr>
      <w:rPr>
        <w:rFonts w:ascii="Courier New" w:hAnsi="Courier New" w:hint="default"/>
      </w:rPr>
    </w:lvl>
    <w:lvl w:ilvl="2" w:tplc="C7EC55D4">
      <w:start w:val="1"/>
      <w:numFmt w:val="bullet"/>
      <w:lvlText w:val=""/>
      <w:lvlJc w:val="left"/>
      <w:pPr>
        <w:ind w:left="2520" w:hanging="360"/>
      </w:pPr>
      <w:rPr>
        <w:rFonts w:ascii="Wingdings" w:hAnsi="Wingdings" w:hint="default"/>
      </w:rPr>
    </w:lvl>
    <w:lvl w:ilvl="3" w:tplc="196A652C">
      <w:start w:val="1"/>
      <w:numFmt w:val="bullet"/>
      <w:lvlText w:val=""/>
      <w:lvlJc w:val="left"/>
      <w:pPr>
        <w:ind w:left="3240" w:hanging="360"/>
      </w:pPr>
      <w:rPr>
        <w:rFonts w:ascii="Symbol" w:hAnsi="Symbol" w:hint="default"/>
      </w:rPr>
    </w:lvl>
    <w:lvl w:ilvl="4" w:tplc="A1E2FE9E">
      <w:start w:val="1"/>
      <w:numFmt w:val="bullet"/>
      <w:lvlText w:val="o"/>
      <w:lvlJc w:val="left"/>
      <w:pPr>
        <w:ind w:left="3960" w:hanging="360"/>
      </w:pPr>
      <w:rPr>
        <w:rFonts w:ascii="Courier New" w:hAnsi="Courier New" w:hint="default"/>
      </w:rPr>
    </w:lvl>
    <w:lvl w:ilvl="5" w:tplc="A1D028D8">
      <w:start w:val="1"/>
      <w:numFmt w:val="bullet"/>
      <w:lvlText w:val=""/>
      <w:lvlJc w:val="left"/>
      <w:pPr>
        <w:ind w:left="4680" w:hanging="360"/>
      </w:pPr>
      <w:rPr>
        <w:rFonts w:ascii="Wingdings" w:hAnsi="Wingdings" w:hint="default"/>
      </w:rPr>
    </w:lvl>
    <w:lvl w:ilvl="6" w:tplc="38B03372">
      <w:start w:val="1"/>
      <w:numFmt w:val="bullet"/>
      <w:lvlText w:val=""/>
      <w:lvlJc w:val="left"/>
      <w:pPr>
        <w:ind w:left="5400" w:hanging="360"/>
      </w:pPr>
      <w:rPr>
        <w:rFonts w:ascii="Symbol" w:hAnsi="Symbol" w:hint="default"/>
      </w:rPr>
    </w:lvl>
    <w:lvl w:ilvl="7" w:tplc="248C9398">
      <w:start w:val="1"/>
      <w:numFmt w:val="bullet"/>
      <w:lvlText w:val="o"/>
      <w:lvlJc w:val="left"/>
      <w:pPr>
        <w:ind w:left="6120" w:hanging="360"/>
      </w:pPr>
      <w:rPr>
        <w:rFonts w:ascii="Courier New" w:hAnsi="Courier New" w:hint="default"/>
      </w:rPr>
    </w:lvl>
    <w:lvl w:ilvl="8" w:tplc="D8C6D4CA">
      <w:start w:val="1"/>
      <w:numFmt w:val="bullet"/>
      <w:lvlText w:val=""/>
      <w:lvlJc w:val="left"/>
      <w:pPr>
        <w:ind w:left="6840" w:hanging="360"/>
      </w:pPr>
      <w:rPr>
        <w:rFonts w:ascii="Wingdings" w:hAnsi="Wingdings" w:hint="default"/>
      </w:rPr>
    </w:lvl>
  </w:abstractNum>
  <w:abstractNum w:abstractNumId="3" w15:restartNumberingAfterBreak="0">
    <w:nsid w:val="6C8A4241"/>
    <w:multiLevelType w:val="hybridMultilevel"/>
    <w:tmpl w:val="40C060FA"/>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0E5046"/>
    <w:multiLevelType w:val="hybridMultilevel"/>
    <w:tmpl w:val="DEB2E442"/>
    <w:lvl w:ilvl="0" w:tplc="34E20C72">
      <w:start w:val="1"/>
      <w:numFmt w:val="bullet"/>
      <w:lvlText w:val=""/>
      <w:lvlJc w:val="left"/>
      <w:pPr>
        <w:ind w:left="785" w:hanging="360"/>
      </w:pPr>
      <w:rPr>
        <w:rFonts w:ascii="Symbol" w:hAnsi="Symbol" w:hint="default"/>
        <w:sz w:val="24"/>
        <w:szCs w:val="24"/>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7E265CFE"/>
    <w:multiLevelType w:val="hybridMultilevel"/>
    <w:tmpl w:val="E13A17A6"/>
    <w:lvl w:ilvl="0" w:tplc="83D61D98">
      <w:start w:val="1"/>
      <w:numFmt w:val="bullet"/>
      <w:lvlText w:val=""/>
      <w:lvlJc w:val="left"/>
      <w:pPr>
        <w:ind w:left="786" w:hanging="360"/>
      </w:pPr>
      <w:rPr>
        <w:rFonts w:ascii="Symbol" w:hAnsi="Symbol" w:hint="default"/>
        <w:sz w:val="24"/>
        <w:szCs w:val="24"/>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472217575">
    <w:abstractNumId w:val="2"/>
  </w:num>
  <w:num w:numId="2" w16cid:durableId="142934372">
    <w:abstractNumId w:val="0"/>
  </w:num>
  <w:num w:numId="3" w16cid:durableId="1308437062">
    <w:abstractNumId w:val="3"/>
  </w:num>
  <w:num w:numId="4" w16cid:durableId="378865421">
    <w:abstractNumId w:val="4"/>
  </w:num>
  <w:num w:numId="5" w16cid:durableId="1760983159">
    <w:abstractNumId w:val="1"/>
  </w:num>
  <w:num w:numId="6" w16cid:durableId="203464559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11"/>
    <w:rsid w:val="0000051C"/>
    <w:rsid w:val="00001A60"/>
    <w:rsid w:val="00006225"/>
    <w:rsid w:val="00011855"/>
    <w:rsid w:val="00027B11"/>
    <w:rsid w:val="00030448"/>
    <w:rsid w:val="00030EAA"/>
    <w:rsid w:val="000342AC"/>
    <w:rsid w:val="000469A8"/>
    <w:rsid w:val="00051D62"/>
    <w:rsid w:val="00071321"/>
    <w:rsid w:val="000735AE"/>
    <w:rsid w:val="00074B42"/>
    <w:rsid w:val="00076EE8"/>
    <w:rsid w:val="0008362B"/>
    <w:rsid w:val="00083C4F"/>
    <w:rsid w:val="00093A0A"/>
    <w:rsid w:val="00095DFF"/>
    <w:rsid w:val="000979FA"/>
    <w:rsid w:val="000A1525"/>
    <w:rsid w:val="000A704B"/>
    <w:rsid w:val="000A7647"/>
    <w:rsid w:val="000B0477"/>
    <w:rsid w:val="000B16E9"/>
    <w:rsid w:val="000B64E3"/>
    <w:rsid w:val="000B653F"/>
    <w:rsid w:val="000B67A6"/>
    <w:rsid w:val="000B7F57"/>
    <w:rsid w:val="000C737B"/>
    <w:rsid w:val="000C76B5"/>
    <w:rsid w:val="000D4345"/>
    <w:rsid w:val="000D4588"/>
    <w:rsid w:val="000E4E1D"/>
    <w:rsid w:val="000F0F7D"/>
    <w:rsid w:val="00105B78"/>
    <w:rsid w:val="00107E62"/>
    <w:rsid w:val="00120AEB"/>
    <w:rsid w:val="00120FD4"/>
    <w:rsid w:val="0012551F"/>
    <w:rsid w:val="001257F2"/>
    <w:rsid w:val="001406B5"/>
    <w:rsid w:val="001416DC"/>
    <w:rsid w:val="001431C1"/>
    <w:rsid w:val="00143FC6"/>
    <w:rsid w:val="0014409F"/>
    <w:rsid w:val="001553D4"/>
    <w:rsid w:val="00160846"/>
    <w:rsid w:val="00160C25"/>
    <w:rsid w:val="00160E02"/>
    <w:rsid w:val="00162077"/>
    <w:rsid w:val="0016633F"/>
    <w:rsid w:val="00183D03"/>
    <w:rsid w:val="001949AB"/>
    <w:rsid w:val="001969FC"/>
    <w:rsid w:val="001A658F"/>
    <w:rsid w:val="001B6D7B"/>
    <w:rsid w:val="001C3749"/>
    <w:rsid w:val="001D21EA"/>
    <w:rsid w:val="001D48B5"/>
    <w:rsid w:val="001D5F9C"/>
    <w:rsid w:val="001D68BC"/>
    <w:rsid w:val="001E0359"/>
    <w:rsid w:val="001E4A78"/>
    <w:rsid w:val="001F1224"/>
    <w:rsid w:val="00204637"/>
    <w:rsid w:val="00206462"/>
    <w:rsid w:val="00206857"/>
    <w:rsid w:val="00210984"/>
    <w:rsid w:val="00220AB9"/>
    <w:rsid w:val="0023340F"/>
    <w:rsid w:val="00235CA2"/>
    <w:rsid w:val="0024031F"/>
    <w:rsid w:val="002474CC"/>
    <w:rsid w:val="0025335B"/>
    <w:rsid w:val="0025768C"/>
    <w:rsid w:val="0026542C"/>
    <w:rsid w:val="0028021A"/>
    <w:rsid w:val="0028258F"/>
    <w:rsid w:val="00286D65"/>
    <w:rsid w:val="0028783F"/>
    <w:rsid w:val="0029190F"/>
    <w:rsid w:val="002A2E55"/>
    <w:rsid w:val="002B0662"/>
    <w:rsid w:val="002B463A"/>
    <w:rsid w:val="002B4782"/>
    <w:rsid w:val="002B7053"/>
    <w:rsid w:val="002C0BD0"/>
    <w:rsid w:val="002C0D7E"/>
    <w:rsid w:val="002E147F"/>
    <w:rsid w:val="002F442D"/>
    <w:rsid w:val="002F5C79"/>
    <w:rsid w:val="003006F1"/>
    <w:rsid w:val="00302B52"/>
    <w:rsid w:val="00306F44"/>
    <w:rsid w:val="00311BF6"/>
    <w:rsid w:val="003135A1"/>
    <w:rsid w:val="003177DB"/>
    <w:rsid w:val="00321230"/>
    <w:rsid w:val="00335CE0"/>
    <w:rsid w:val="003518EE"/>
    <w:rsid w:val="0035291E"/>
    <w:rsid w:val="00352FE5"/>
    <w:rsid w:val="003610DE"/>
    <w:rsid w:val="00361AC9"/>
    <w:rsid w:val="00362324"/>
    <w:rsid w:val="00362AF0"/>
    <w:rsid w:val="0036464E"/>
    <w:rsid w:val="00372A19"/>
    <w:rsid w:val="0038238E"/>
    <w:rsid w:val="003956F0"/>
    <w:rsid w:val="00395767"/>
    <w:rsid w:val="00395A0D"/>
    <w:rsid w:val="00396E41"/>
    <w:rsid w:val="003A1300"/>
    <w:rsid w:val="003A1BD2"/>
    <w:rsid w:val="003A53BA"/>
    <w:rsid w:val="003B3A67"/>
    <w:rsid w:val="003C1D23"/>
    <w:rsid w:val="003C305A"/>
    <w:rsid w:val="003C5DA8"/>
    <w:rsid w:val="003C6FEE"/>
    <w:rsid w:val="003D0200"/>
    <w:rsid w:val="003E653C"/>
    <w:rsid w:val="0040289B"/>
    <w:rsid w:val="00405642"/>
    <w:rsid w:val="004354A0"/>
    <w:rsid w:val="0044348D"/>
    <w:rsid w:val="00444025"/>
    <w:rsid w:val="0044553C"/>
    <w:rsid w:val="00456049"/>
    <w:rsid w:val="00456669"/>
    <w:rsid w:val="00464CF2"/>
    <w:rsid w:val="00464DF6"/>
    <w:rsid w:val="0047335E"/>
    <w:rsid w:val="004742DD"/>
    <w:rsid w:val="00492024"/>
    <w:rsid w:val="004939B0"/>
    <w:rsid w:val="0049656F"/>
    <w:rsid w:val="004A03A1"/>
    <w:rsid w:val="004A35BA"/>
    <w:rsid w:val="004A5374"/>
    <w:rsid w:val="004B40CD"/>
    <w:rsid w:val="004B5121"/>
    <w:rsid w:val="004B6697"/>
    <w:rsid w:val="004C481A"/>
    <w:rsid w:val="004D1545"/>
    <w:rsid w:val="004D24DA"/>
    <w:rsid w:val="004D6B48"/>
    <w:rsid w:val="004E285E"/>
    <w:rsid w:val="004F0097"/>
    <w:rsid w:val="004F701B"/>
    <w:rsid w:val="005004BF"/>
    <w:rsid w:val="00512EE9"/>
    <w:rsid w:val="00515605"/>
    <w:rsid w:val="00521DD5"/>
    <w:rsid w:val="00523828"/>
    <w:rsid w:val="0053408F"/>
    <w:rsid w:val="0055598C"/>
    <w:rsid w:val="00556AA8"/>
    <w:rsid w:val="00562D62"/>
    <w:rsid w:val="005631DC"/>
    <w:rsid w:val="0056346E"/>
    <w:rsid w:val="00573746"/>
    <w:rsid w:val="005818A0"/>
    <w:rsid w:val="00581E78"/>
    <w:rsid w:val="00584035"/>
    <w:rsid w:val="0058554E"/>
    <w:rsid w:val="00585A91"/>
    <w:rsid w:val="00585F77"/>
    <w:rsid w:val="00592EAD"/>
    <w:rsid w:val="00593AD7"/>
    <w:rsid w:val="00594792"/>
    <w:rsid w:val="00594F22"/>
    <w:rsid w:val="005A20C3"/>
    <w:rsid w:val="005A3CF4"/>
    <w:rsid w:val="005B1CAE"/>
    <w:rsid w:val="005B705D"/>
    <w:rsid w:val="005B7574"/>
    <w:rsid w:val="005C5BCB"/>
    <w:rsid w:val="005D03ED"/>
    <w:rsid w:val="005D3799"/>
    <w:rsid w:val="005D3A0F"/>
    <w:rsid w:val="005D704E"/>
    <w:rsid w:val="005E193D"/>
    <w:rsid w:val="005E722C"/>
    <w:rsid w:val="005F4E46"/>
    <w:rsid w:val="005F6977"/>
    <w:rsid w:val="005F7DB5"/>
    <w:rsid w:val="00603D81"/>
    <w:rsid w:val="006276C8"/>
    <w:rsid w:val="00632522"/>
    <w:rsid w:val="006479C3"/>
    <w:rsid w:val="006573B7"/>
    <w:rsid w:val="00666E08"/>
    <w:rsid w:val="0067149C"/>
    <w:rsid w:val="0067408C"/>
    <w:rsid w:val="00685769"/>
    <w:rsid w:val="00692AEF"/>
    <w:rsid w:val="006954E4"/>
    <w:rsid w:val="006A0C10"/>
    <w:rsid w:val="006B1780"/>
    <w:rsid w:val="006B56C9"/>
    <w:rsid w:val="006C60E4"/>
    <w:rsid w:val="006D1E56"/>
    <w:rsid w:val="006E305B"/>
    <w:rsid w:val="006E5085"/>
    <w:rsid w:val="006E50E0"/>
    <w:rsid w:val="006F4921"/>
    <w:rsid w:val="006F604E"/>
    <w:rsid w:val="006F6C67"/>
    <w:rsid w:val="006F6E04"/>
    <w:rsid w:val="007002B5"/>
    <w:rsid w:val="00707E46"/>
    <w:rsid w:val="00712F28"/>
    <w:rsid w:val="00720137"/>
    <w:rsid w:val="00721056"/>
    <w:rsid w:val="00724976"/>
    <w:rsid w:val="00727827"/>
    <w:rsid w:val="00727A80"/>
    <w:rsid w:val="00740B6C"/>
    <w:rsid w:val="00742F30"/>
    <w:rsid w:val="00745B19"/>
    <w:rsid w:val="007512FD"/>
    <w:rsid w:val="00764037"/>
    <w:rsid w:val="00766391"/>
    <w:rsid w:val="007840C6"/>
    <w:rsid w:val="00793F80"/>
    <w:rsid w:val="00794B23"/>
    <w:rsid w:val="007972E4"/>
    <w:rsid w:val="007A3EBE"/>
    <w:rsid w:val="007B072A"/>
    <w:rsid w:val="007B63BE"/>
    <w:rsid w:val="007B64D7"/>
    <w:rsid w:val="007B77A3"/>
    <w:rsid w:val="007B7A8A"/>
    <w:rsid w:val="007C1236"/>
    <w:rsid w:val="007C2E26"/>
    <w:rsid w:val="007C461C"/>
    <w:rsid w:val="007D15A7"/>
    <w:rsid w:val="007D16D8"/>
    <w:rsid w:val="007D4FC8"/>
    <w:rsid w:val="007D6E9C"/>
    <w:rsid w:val="007E53A3"/>
    <w:rsid w:val="007F7696"/>
    <w:rsid w:val="00801CA4"/>
    <w:rsid w:val="00804E7A"/>
    <w:rsid w:val="00822FB6"/>
    <w:rsid w:val="00826DAF"/>
    <w:rsid w:val="00834A4C"/>
    <w:rsid w:val="00836F38"/>
    <w:rsid w:val="0083789B"/>
    <w:rsid w:val="00841DAD"/>
    <w:rsid w:val="008438B2"/>
    <w:rsid w:val="00844354"/>
    <w:rsid w:val="00844FD3"/>
    <w:rsid w:val="00847084"/>
    <w:rsid w:val="00855711"/>
    <w:rsid w:val="00863B96"/>
    <w:rsid w:val="00864AE4"/>
    <w:rsid w:val="00882BA9"/>
    <w:rsid w:val="00885BE7"/>
    <w:rsid w:val="0088649D"/>
    <w:rsid w:val="008875C9"/>
    <w:rsid w:val="00890B79"/>
    <w:rsid w:val="00891F53"/>
    <w:rsid w:val="00894FE7"/>
    <w:rsid w:val="00896360"/>
    <w:rsid w:val="008A617A"/>
    <w:rsid w:val="008A64DD"/>
    <w:rsid w:val="008B4E10"/>
    <w:rsid w:val="008C0477"/>
    <w:rsid w:val="008C48EA"/>
    <w:rsid w:val="008C75F7"/>
    <w:rsid w:val="008D1FC9"/>
    <w:rsid w:val="008D2B37"/>
    <w:rsid w:val="008E6212"/>
    <w:rsid w:val="008F3FB1"/>
    <w:rsid w:val="008F58A3"/>
    <w:rsid w:val="00903560"/>
    <w:rsid w:val="009073B0"/>
    <w:rsid w:val="0091646B"/>
    <w:rsid w:val="00920800"/>
    <w:rsid w:val="00921E7E"/>
    <w:rsid w:val="009310F6"/>
    <w:rsid w:val="00941BDD"/>
    <w:rsid w:val="0094319B"/>
    <w:rsid w:val="00945974"/>
    <w:rsid w:val="0095441A"/>
    <w:rsid w:val="00954A46"/>
    <w:rsid w:val="009602EC"/>
    <w:rsid w:val="009670DB"/>
    <w:rsid w:val="00971885"/>
    <w:rsid w:val="0097703C"/>
    <w:rsid w:val="009872F5"/>
    <w:rsid w:val="0099479B"/>
    <w:rsid w:val="009A2D6D"/>
    <w:rsid w:val="009A3C69"/>
    <w:rsid w:val="009A6C4B"/>
    <w:rsid w:val="009A7567"/>
    <w:rsid w:val="009B7D37"/>
    <w:rsid w:val="009C06CE"/>
    <w:rsid w:val="009C2410"/>
    <w:rsid w:val="009C27E6"/>
    <w:rsid w:val="009C3392"/>
    <w:rsid w:val="009C7CF3"/>
    <w:rsid w:val="009D0F33"/>
    <w:rsid w:val="009D2513"/>
    <w:rsid w:val="009D317F"/>
    <w:rsid w:val="009D55BE"/>
    <w:rsid w:val="009E0E44"/>
    <w:rsid w:val="009E42EE"/>
    <w:rsid w:val="009F16B2"/>
    <w:rsid w:val="009F4957"/>
    <w:rsid w:val="00A0192B"/>
    <w:rsid w:val="00A07974"/>
    <w:rsid w:val="00A11AC2"/>
    <w:rsid w:val="00A1385C"/>
    <w:rsid w:val="00A148E7"/>
    <w:rsid w:val="00A21E47"/>
    <w:rsid w:val="00A26471"/>
    <w:rsid w:val="00A30CC8"/>
    <w:rsid w:val="00A3242C"/>
    <w:rsid w:val="00A359D3"/>
    <w:rsid w:val="00A36E83"/>
    <w:rsid w:val="00A461DD"/>
    <w:rsid w:val="00A4751C"/>
    <w:rsid w:val="00A47ADC"/>
    <w:rsid w:val="00A536E5"/>
    <w:rsid w:val="00A55D12"/>
    <w:rsid w:val="00A640F3"/>
    <w:rsid w:val="00A65831"/>
    <w:rsid w:val="00A66CF4"/>
    <w:rsid w:val="00A741F6"/>
    <w:rsid w:val="00A867B4"/>
    <w:rsid w:val="00A9A9EC"/>
    <w:rsid w:val="00AA6DF3"/>
    <w:rsid w:val="00AA760E"/>
    <w:rsid w:val="00AA7F25"/>
    <w:rsid w:val="00AA7F97"/>
    <w:rsid w:val="00AC499E"/>
    <w:rsid w:val="00AC4C5B"/>
    <w:rsid w:val="00AC511C"/>
    <w:rsid w:val="00AC59D7"/>
    <w:rsid w:val="00AD40E2"/>
    <w:rsid w:val="00AE55BF"/>
    <w:rsid w:val="00AF12A8"/>
    <w:rsid w:val="00AF3553"/>
    <w:rsid w:val="00AF6322"/>
    <w:rsid w:val="00B00F84"/>
    <w:rsid w:val="00B044A1"/>
    <w:rsid w:val="00B05765"/>
    <w:rsid w:val="00B06BE5"/>
    <w:rsid w:val="00B1798E"/>
    <w:rsid w:val="00B17DF9"/>
    <w:rsid w:val="00B21C1F"/>
    <w:rsid w:val="00B33705"/>
    <w:rsid w:val="00B33C56"/>
    <w:rsid w:val="00B34BDD"/>
    <w:rsid w:val="00B362F3"/>
    <w:rsid w:val="00B41078"/>
    <w:rsid w:val="00B44A94"/>
    <w:rsid w:val="00B4768C"/>
    <w:rsid w:val="00B51DF9"/>
    <w:rsid w:val="00B55B86"/>
    <w:rsid w:val="00B62744"/>
    <w:rsid w:val="00B73F8B"/>
    <w:rsid w:val="00B757F4"/>
    <w:rsid w:val="00B84F7A"/>
    <w:rsid w:val="00B87D2E"/>
    <w:rsid w:val="00B94707"/>
    <w:rsid w:val="00BA7879"/>
    <w:rsid w:val="00BB4090"/>
    <w:rsid w:val="00BC7C15"/>
    <w:rsid w:val="00BD2F1E"/>
    <w:rsid w:val="00BE3711"/>
    <w:rsid w:val="00BE428D"/>
    <w:rsid w:val="00BE42D1"/>
    <w:rsid w:val="00BE6683"/>
    <w:rsid w:val="00BF07FE"/>
    <w:rsid w:val="00BF0ECF"/>
    <w:rsid w:val="00BF4EAD"/>
    <w:rsid w:val="00C034E0"/>
    <w:rsid w:val="00C0604D"/>
    <w:rsid w:val="00C122A8"/>
    <w:rsid w:val="00C14536"/>
    <w:rsid w:val="00C14A76"/>
    <w:rsid w:val="00C16E47"/>
    <w:rsid w:val="00C20A30"/>
    <w:rsid w:val="00C24576"/>
    <w:rsid w:val="00C25A6C"/>
    <w:rsid w:val="00C271A3"/>
    <w:rsid w:val="00C330CA"/>
    <w:rsid w:val="00C45837"/>
    <w:rsid w:val="00C4583F"/>
    <w:rsid w:val="00C50D0B"/>
    <w:rsid w:val="00C51467"/>
    <w:rsid w:val="00C55B7B"/>
    <w:rsid w:val="00C60FCF"/>
    <w:rsid w:val="00C658BE"/>
    <w:rsid w:val="00C67815"/>
    <w:rsid w:val="00C74907"/>
    <w:rsid w:val="00C752AB"/>
    <w:rsid w:val="00C75FE3"/>
    <w:rsid w:val="00C76853"/>
    <w:rsid w:val="00C87B4C"/>
    <w:rsid w:val="00C87EFB"/>
    <w:rsid w:val="00C91BAC"/>
    <w:rsid w:val="00C91FAB"/>
    <w:rsid w:val="00C941BE"/>
    <w:rsid w:val="00C953FB"/>
    <w:rsid w:val="00CA2FC4"/>
    <w:rsid w:val="00CA56BA"/>
    <w:rsid w:val="00CB201C"/>
    <w:rsid w:val="00CB4A2F"/>
    <w:rsid w:val="00CB4AC8"/>
    <w:rsid w:val="00CB4C0E"/>
    <w:rsid w:val="00CB6E57"/>
    <w:rsid w:val="00CC1475"/>
    <w:rsid w:val="00CC23F6"/>
    <w:rsid w:val="00CC2685"/>
    <w:rsid w:val="00CC4C95"/>
    <w:rsid w:val="00CC7151"/>
    <w:rsid w:val="00CD5F4F"/>
    <w:rsid w:val="00CD7A6C"/>
    <w:rsid w:val="00CE4726"/>
    <w:rsid w:val="00CF3773"/>
    <w:rsid w:val="00CF59F6"/>
    <w:rsid w:val="00CF6C63"/>
    <w:rsid w:val="00D0487E"/>
    <w:rsid w:val="00D15469"/>
    <w:rsid w:val="00D508CD"/>
    <w:rsid w:val="00D5487B"/>
    <w:rsid w:val="00D5522F"/>
    <w:rsid w:val="00D553D1"/>
    <w:rsid w:val="00D55ABF"/>
    <w:rsid w:val="00D57585"/>
    <w:rsid w:val="00D65CFB"/>
    <w:rsid w:val="00D81DCE"/>
    <w:rsid w:val="00D910C3"/>
    <w:rsid w:val="00D915BF"/>
    <w:rsid w:val="00DB4EB7"/>
    <w:rsid w:val="00DB5860"/>
    <w:rsid w:val="00DC5BAA"/>
    <w:rsid w:val="00DC77F7"/>
    <w:rsid w:val="00DD1ABA"/>
    <w:rsid w:val="00DD303E"/>
    <w:rsid w:val="00DE1B57"/>
    <w:rsid w:val="00DF1327"/>
    <w:rsid w:val="00E020C7"/>
    <w:rsid w:val="00E052A8"/>
    <w:rsid w:val="00E11D55"/>
    <w:rsid w:val="00E1344F"/>
    <w:rsid w:val="00E15E1D"/>
    <w:rsid w:val="00E172EB"/>
    <w:rsid w:val="00E2438C"/>
    <w:rsid w:val="00E300D1"/>
    <w:rsid w:val="00E30253"/>
    <w:rsid w:val="00E319F1"/>
    <w:rsid w:val="00E34AAD"/>
    <w:rsid w:val="00E37A8A"/>
    <w:rsid w:val="00E4106F"/>
    <w:rsid w:val="00E42B2F"/>
    <w:rsid w:val="00E46C89"/>
    <w:rsid w:val="00E5025D"/>
    <w:rsid w:val="00E56570"/>
    <w:rsid w:val="00E6665E"/>
    <w:rsid w:val="00E74B83"/>
    <w:rsid w:val="00E8044E"/>
    <w:rsid w:val="00E817DA"/>
    <w:rsid w:val="00E83E79"/>
    <w:rsid w:val="00E83EE0"/>
    <w:rsid w:val="00E84BDF"/>
    <w:rsid w:val="00E8767E"/>
    <w:rsid w:val="00E929D0"/>
    <w:rsid w:val="00E94138"/>
    <w:rsid w:val="00E96912"/>
    <w:rsid w:val="00EA221D"/>
    <w:rsid w:val="00EA3320"/>
    <w:rsid w:val="00EA4056"/>
    <w:rsid w:val="00EA4F7B"/>
    <w:rsid w:val="00EA7AD1"/>
    <w:rsid w:val="00EB5A1D"/>
    <w:rsid w:val="00EC0208"/>
    <w:rsid w:val="00EC798A"/>
    <w:rsid w:val="00ED0167"/>
    <w:rsid w:val="00EE2355"/>
    <w:rsid w:val="00EE4F64"/>
    <w:rsid w:val="00EE5FC3"/>
    <w:rsid w:val="00EF0246"/>
    <w:rsid w:val="00EF157B"/>
    <w:rsid w:val="00EF5BDD"/>
    <w:rsid w:val="00EF7A94"/>
    <w:rsid w:val="00F0005B"/>
    <w:rsid w:val="00F0523F"/>
    <w:rsid w:val="00F110C4"/>
    <w:rsid w:val="00F11106"/>
    <w:rsid w:val="00F135D1"/>
    <w:rsid w:val="00F40948"/>
    <w:rsid w:val="00F43218"/>
    <w:rsid w:val="00F4595E"/>
    <w:rsid w:val="00F57E6B"/>
    <w:rsid w:val="00F61BD1"/>
    <w:rsid w:val="00F62AEF"/>
    <w:rsid w:val="00F64A70"/>
    <w:rsid w:val="00F66464"/>
    <w:rsid w:val="00F66D98"/>
    <w:rsid w:val="00F71854"/>
    <w:rsid w:val="00F71EEC"/>
    <w:rsid w:val="00F73456"/>
    <w:rsid w:val="00F73F07"/>
    <w:rsid w:val="00F80EF9"/>
    <w:rsid w:val="00F8441C"/>
    <w:rsid w:val="00F84978"/>
    <w:rsid w:val="00F91310"/>
    <w:rsid w:val="00F951FF"/>
    <w:rsid w:val="00F970E4"/>
    <w:rsid w:val="00FA3A8E"/>
    <w:rsid w:val="00FA4034"/>
    <w:rsid w:val="00FA73BF"/>
    <w:rsid w:val="00FA7634"/>
    <w:rsid w:val="00FB3FB7"/>
    <w:rsid w:val="00FC3711"/>
    <w:rsid w:val="00FC374F"/>
    <w:rsid w:val="00FC457C"/>
    <w:rsid w:val="00FC498E"/>
    <w:rsid w:val="00FC7DFC"/>
    <w:rsid w:val="00FE0406"/>
    <w:rsid w:val="00FE14B1"/>
    <w:rsid w:val="00FE18E0"/>
    <w:rsid w:val="00FE25EA"/>
    <w:rsid w:val="00FF122B"/>
    <w:rsid w:val="00FF3923"/>
    <w:rsid w:val="00FF55A6"/>
    <w:rsid w:val="0111D9B5"/>
    <w:rsid w:val="013282D5"/>
    <w:rsid w:val="013DA442"/>
    <w:rsid w:val="0141F2A5"/>
    <w:rsid w:val="0174485B"/>
    <w:rsid w:val="01C48525"/>
    <w:rsid w:val="024CD4B5"/>
    <w:rsid w:val="02E4AC8B"/>
    <w:rsid w:val="053614B5"/>
    <w:rsid w:val="057FA815"/>
    <w:rsid w:val="05AE1F65"/>
    <w:rsid w:val="05B0E0CD"/>
    <w:rsid w:val="05C6365C"/>
    <w:rsid w:val="05F01A97"/>
    <w:rsid w:val="06196B97"/>
    <w:rsid w:val="0633459C"/>
    <w:rsid w:val="06A28F0F"/>
    <w:rsid w:val="06FCA132"/>
    <w:rsid w:val="072FA256"/>
    <w:rsid w:val="07425D71"/>
    <w:rsid w:val="0773D317"/>
    <w:rsid w:val="07DF40CF"/>
    <w:rsid w:val="07DFF4E9"/>
    <w:rsid w:val="085F3CC2"/>
    <w:rsid w:val="087BC567"/>
    <w:rsid w:val="088C7A5D"/>
    <w:rsid w:val="08B4AB41"/>
    <w:rsid w:val="0912F213"/>
    <w:rsid w:val="09FEE202"/>
    <w:rsid w:val="0B479F5F"/>
    <w:rsid w:val="0B653A39"/>
    <w:rsid w:val="0C0B2498"/>
    <w:rsid w:val="0C19735C"/>
    <w:rsid w:val="0C271CF0"/>
    <w:rsid w:val="0C81033D"/>
    <w:rsid w:val="0D1575AE"/>
    <w:rsid w:val="0D4AE69B"/>
    <w:rsid w:val="0DBE8007"/>
    <w:rsid w:val="0DD55245"/>
    <w:rsid w:val="0DEA1B56"/>
    <w:rsid w:val="0E27A4D0"/>
    <w:rsid w:val="0E2AFE0D"/>
    <w:rsid w:val="0E97E069"/>
    <w:rsid w:val="0EE8E8A8"/>
    <w:rsid w:val="0F078FE5"/>
    <w:rsid w:val="0F15815A"/>
    <w:rsid w:val="0F59FD7A"/>
    <w:rsid w:val="0F6F934B"/>
    <w:rsid w:val="0FA5B736"/>
    <w:rsid w:val="0FAA6460"/>
    <w:rsid w:val="0FC24E32"/>
    <w:rsid w:val="0FE9FD77"/>
    <w:rsid w:val="101DD7E3"/>
    <w:rsid w:val="10349604"/>
    <w:rsid w:val="1038C9E4"/>
    <w:rsid w:val="1054074D"/>
    <w:rsid w:val="111035DD"/>
    <w:rsid w:val="11520427"/>
    <w:rsid w:val="11680A8B"/>
    <w:rsid w:val="11C7DABC"/>
    <w:rsid w:val="1201C561"/>
    <w:rsid w:val="1242745A"/>
    <w:rsid w:val="130A9EF8"/>
    <w:rsid w:val="13236A3A"/>
    <w:rsid w:val="1394D356"/>
    <w:rsid w:val="140738DF"/>
    <w:rsid w:val="1477B5CB"/>
    <w:rsid w:val="1494E888"/>
    <w:rsid w:val="14F1D9AA"/>
    <w:rsid w:val="150E3C2B"/>
    <w:rsid w:val="1530C5DA"/>
    <w:rsid w:val="15A8CD45"/>
    <w:rsid w:val="15E89A21"/>
    <w:rsid w:val="1661DC26"/>
    <w:rsid w:val="16991816"/>
    <w:rsid w:val="16C6358D"/>
    <w:rsid w:val="16CD4902"/>
    <w:rsid w:val="1702C2FA"/>
    <w:rsid w:val="1726B65E"/>
    <w:rsid w:val="17547DB8"/>
    <w:rsid w:val="1768C97A"/>
    <w:rsid w:val="17A7ED17"/>
    <w:rsid w:val="189D1860"/>
    <w:rsid w:val="191DBD4A"/>
    <w:rsid w:val="19292E74"/>
    <w:rsid w:val="193F77D1"/>
    <w:rsid w:val="1958ABED"/>
    <w:rsid w:val="19B6D6DD"/>
    <w:rsid w:val="19D62327"/>
    <w:rsid w:val="19E18187"/>
    <w:rsid w:val="1A052F60"/>
    <w:rsid w:val="1A3DA21E"/>
    <w:rsid w:val="1ADB7E55"/>
    <w:rsid w:val="1AE9E85D"/>
    <w:rsid w:val="1AED7C14"/>
    <w:rsid w:val="1B1A3001"/>
    <w:rsid w:val="1B5E6B43"/>
    <w:rsid w:val="1B5FFC01"/>
    <w:rsid w:val="1BA5CD40"/>
    <w:rsid w:val="1BCB054D"/>
    <w:rsid w:val="1C311C8A"/>
    <w:rsid w:val="1D8385DA"/>
    <w:rsid w:val="1E3A4413"/>
    <w:rsid w:val="1E417142"/>
    <w:rsid w:val="1E4D7222"/>
    <w:rsid w:val="1E4EE693"/>
    <w:rsid w:val="1E534F39"/>
    <w:rsid w:val="1E74C11E"/>
    <w:rsid w:val="1E83F3A5"/>
    <w:rsid w:val="1F9F248F"/>
    <w:rsid w:val="1FB2BFFF"/>
    <w:rsid w:val="1FE11601"/>
    <w:rsid w:val="1FFAE16E"/>
    <w:rsid w:val="200A4BD1"/>
    <w:rsid w:val="2066B16D"/>
    <w:rsid w:val="209052BC"/>
    <w:rsid w:val="20C4FA4E"/>
    <w:rsid w:val="20C774C1"/>
    <w:rsid w:val="21192751"/>
    <w:rsid w:val="2127B894"/>
    <w:rsid w:val="217D6563"/>
    <w:rsid w:val="218E445F"/>
    <w:rsid w:val="21A6E763"/>
    <w:rsid w:val="21ABC973"/>
    <w:rsid w:val="21AC3DB9"/>
    <w:rsid w:val="21C97BBC"/>
    <w:rsid w:val="21D3C834"/>
    <w:rsid w:val="221B32F1"/>
    <w:rsid w:val="223240C8"/>
    <w:rsid w:val="226E4413"/>
    <w:rsid w:val="22ECA4C6"/>
    <w:rsid w:val="24C73D64"/>
    <w:rsid w:val="24E8A370"/>
    <w:rsid w:val="263509D0"/>
    <w:rsid w:val="263EDAA4"/>
    <w:rsid w:val="2674CFA0"/>
    <w:rsid w:val="268413A3"/>
    <w:rsid w:val="26AFD563"/>
    <w:rsid w:val="26E2AC51"/>
    <w:rsid w:val="2700B45C"/>
    <w:rsid w:val="27E23686"/>
    <w:rsid w:val="27F430A3"/>
    <w:rsid w:val="2837D7A3"/>
    <w:rsid w:val="28548D58"/>
    <w:rsid w:val="2881F4E4"/>
    <w:rsid w:val="291F195B"/>
    <w:rsid w:val="293E16E5"/>
    <w:rsid w:val="29473B6A"/>
    <w:rsid w:val="295D11DB"/>
    <w:rsid w:val="2A0EC150"/>
    <w:rsid w:val="2A103F64"/>
    <w:rsid w:val="2A51883B"/>
    <w:rsid w:val="2A8ED530"/>
    <w:rsid w:val="2ACF0E69"/>
    <w:rsid w:val="2AF8245E"/>
    <w:rsid w:val="2B55BC11"/>
    <w:rsid w:val="2BA36DC4"/>
    <w:rsid w:val="2C2B7B80"/>
    <w:rsid w:val="2C6B23C4"/>
    <w:rsid w:val="2D2D87B7"/>
    <w:rsid w:val="2E0BF798"/>
    <w:rsid w:val="2E46AA08"/>
    <w:rsid w:val="2E66EBFB"/>
    <w:rsid w:val="2E95DE7F"/>
    <w:rsid w:val="2EB5159A"/>
    <w:rsid w:val="2EDDB347"/>
    <w:rsid w:val="2F1447CE"/>
    <w:rsid w:val="2F21E896"/>
    <w:rsid w:val="2F530F29"/>
    <w:rsid w:val="2F7874BF"/>
    <w:rsid w:val="2F88CFF6"/>
    <w:rsid w:val="2F8F4C64"/>
    <w:rsid w:val="309DC725"/>
    <w:rsid w:val="30EB69DD"/>
    <w:rsid w:val="310E9A87"/>
    <w:rsid w:val="317BD2D4"/>
    <w:rsid w:val="32A22C1A"/>
    <w:rsid w:val="32BF0D48"/>
    <w:rsid w:val="330B10DA"/>
    <w:rsid w:val="33150BDB"/>
    <w:rsid w:val="332C1FAF"/>
    <w:rsid w:val="33801E39"/>
    <w:rsid w:val="340FAA4A"/>
    <w:rsid w:val="3446DA8D"/>
    <w:rsid w:val="34775F39"/>
    <w:rsid w:val="34D7BB64"/>
    <w:rsid w:val="35555579"/>
    <w:rsid w:val="358AA16C"/>
    <w:rsid w:val="36233E10"/>
    <w:rsid w:val="369CC8E8"/>
    <w:rsid w:val="374D377A"/>
    <w:rsid w:val="375417C0"/>
    <w:rsid w:val="375D7EB2"/>
    <w:rsid w:val="38ACEDEA"/>
    <w:rsid w:val="392847B4"/>
    <w:rsid w:val="39438397"/>
    <w:rsid w:val="39CA05C8"/>
    <w:rsid w:val="3A2077B5"/>
    <w:rsid w:val="3A4654CE"/>
    <w:rsid w:val="3AC544C7"/>
    <w:rsid w:val="3B3CFCB3"/>
    <w:rsid w:val="3B48DEDB"/>
    <w:rsid w:val="3B6E8D86"/>
    <w:rsid w:val="3B9A347C"/>
    <w:rsid w:val="3C4D6500"/>
    <w:rsid w:val="3C6408A8"/>
    <w:rsid w:val="3CB947AC"/>
    <w:rsid w:val="3CE380F9"/>
    <w:rsid w:val="3D6A1F3B"/>
    <w:rsid w:val="3D821B5B"/>
    <w:rsid w:val="3E3D05B9"/>
    <w:rsid w:val="3E800431"/>
    <w:rsid w:val="3FC57200"/>
    <w:rsid w:val="3FC5901C"/>
    <w:rsid w:val="3FD22AD0"/>
    <w:rsid w:val="3FFA5A40"/>
    <w:rsid w:val="41325660"/>
    <w:rsid w:val="41712E36"/>
    <w:rsid w:val="422C639C"/>
    <w:rsid w:val="42DE2D34"/>
    <w:rsid w:val="42E39775"/>
    <w:rsid w:val="42EF48A8"/>
    <w:rsid w:val="42EF4A08"/>
    <w:rsid w:val="431A11B9"/>
    <w:rsid w:val="432BCC52"/>
    <w:rsid w:val="432DF02A"/>
    <w:rsid w:val="4330F03C"/>
    <w:rsid w:val="433E6995"/>
    <w:rsid w:val="43C14B02"/>
    <w:rsid w:val="44B34D95"/>
    <w:rsid w:val="44E7277B"/>
    <w:rsid w:val="4550C015"/>
    <w:rsid w:val="46653EE2"/>
    <w:rsid w:val="469387A9"/>
    <w:rsid w:val="46BE9FED"/>
    <w:rsid w:val="47028787"/>
    <w:rsid w:val="4783BD3A"/>
    <w:rsid w:val="47A119CF"/>
    <w:rsid w:val="47BF3BBD"/>
    <w:rsid w:val="47C333C3"/>
    <w:rsid w:val="47F90F13"/>
    <w:rsid w:val="48786118"/>
    <w:rsid w:val="4879036A"/>
    <w:rsid w:val="48CD4E03"/>
    <w:rsid w:val="494EB114"/>
    <w:rsid w:val="4A01C664"/>
    <w:rsid w:val="4A6F7C67"/>
    <w:rsid w:val="4A75BD97"/>
    <w:rsid w:val="4AC011AA"/>
    <w:rsid w:val="4B12CC17"/>
    <w:rsid w:val="4B3FBDDF"/>
    <w:rsid w:val="4B99E172"/>
    <w:rsid w:val="4C3C297D"/>
    <w:rsid w:val="4C50824C"/>
    <w:rsid w:val="4C51100B"/>
    <w:rsid w:val="4C6D0D8E"/>
    <w:rsid w:val="4C7EDFD7"/>
    <w:rsid w:val="4C8D254A"/>
    <w:rsid w:val="4CABC3FB"/>
    <w:rsid w:val="4CF2FD53"/>
    <w:rsid w:val="4D3927EC"/>
    <w:rsid w:val="4E5CB7DF"/>
    <w:rsid w:val="4E6B8019"/>
    <w:rsid w:val="4F189BC8"/>
    <w:rsid w:val="4F41E997"/>
    <w:rsid w:val="4F7C59A0"/>
    <w:rsid w:val="4F98D9F4"/>
    <w:rsid w:val="4FD94B86"/>
    <w:rsid w:val="500CADEB"/>
    <w:rsid w:val="502CDDE2"/>
    <w:rsid w:val="509CB0B0"/>
    <w:rsid w:val="50BC0728"/>
    <w:rsid w:val="5102BE09"/>
    <w:rsid w:val="51699A67"/>
    <w:rsid w:val="5185EEA3"/>
    <w:rsid w:val="51A647F6"/>
    <w:rsid w:val="51BFD44E"/>
    <w:rsid w:val="52B4671C"/>
    <w:rsid w:val="52E14C3F"/>
    <w:rsid w:val="52F08AE1"/>
    <w:rsid w:val="5336A4E2"/>
    <w:rsid w:val="53C1A07A"/>
    <w:rsid w:val="53D2FF0B"/>
    <w:rsid w:val="541E86DE"/>
    <w:rsid w:val="546AD60B"/>
    <w:rsid w:val="54AAA67E"/>
    <w:rsid w:val="54C1442D"/>
    <w:rsid w:val="54ED260D"/>
    <w:rsid w:val="556FBD48"/>
    <w:rsid w:val="55CA2C7C"/>
    <w:rsid w:val="55F6CB65"/>
    <w:rsid w:val="5640EE7C"/>
    <w:rsid w:val="56516547"/>
    <w:rsid w:val="5693488D"/>
    <w:rsid w:val="56F53AA2"/>
    <w:rsid w:val="5705F777"/>
    <w:rsid w:val="57104F9F"/>
    <w:rsid w:val="57544AA8"/>
    <w:rsid w:val="57652F9F"/>
    <w:rsid w:val="5790CBF8"/>
    <w:rsid w:val="57EBC2DF"/>
    <w:rsid w:val="58006F3F"/>
    <w:rsid w:val="58040431"/>
    <w:rsid w:val="58502778"/>
    <w:rsid w:val="5902E82A"/>
    <w:rsid w:val="59085F31"/>
    <w:rsid w:val="5938F110"/>
    <w:rsid w:val="596981A9"/>
    <w:rsid w:val="5A418761"/>
    <w:rsid w:val="5AA4ED6F"/>
    <w:rsid w:val="5C0F54EE"/>
    <w:rsid w:val="5C64965A"/>
    <w:rsid w:val="5CB08888"/>
    <w:rsid w:val="5D53A2EE"/>
    <w:rsid w:val="5D71CF00"/>
    <w:rsid w:val="5D9B6212"/>
    <w:rsid w:val="5DDFAC87"/>
    <w:rsid w:val="5DEF78D6"/>
    <w:rsid w:val="5EB13AFD"/>
    <w:rsid w:val="5ECC0CE0"/>
    <w:rsid w:val="5F488667"/>
    <w:rsid w:val="6024CAEB"/>
    <w:rsid w:val="602D4EF3"/>
    <w:rsid w:val="60464BAA"/>
    <w:rsid w:val="60828C08"/>
    <w:rsid w:val="6134756F"/>
    <w:rsid w:val="61942040"/>
    <w:rsid w:val="61E1E602"/>
    <w:rsid w:val="6229EE4A"/>
    <w:rsid w:val="625943FD"/>
    <w:rsid w:val="626D73AA"/>
    <w:rsid w:val="627F3D42"/>
    <w:rsid w:val="6292DECE"/>
    <w:rsid w:val="636F3956"/>
    <w:rsid w:val="638EC0F3"/>
    <w:rsid w:val="63CD4B7A"/>
    <w:rsid w:val="63D0FD6C"/>
    <w:rsid w:val="63F139A6"/>
    <w:rsid w:val="645A356F"/>
    <w:rsid w:val="6464EC1D"/>
    <w:rsid w:val="648F42C5"/>
    <w:rsid w:val="65372C1B"/>
    <w:rsid w:val="657D3260"/>
    <w:rsid w:val="65B3C13F"/>
    <w:rsid w:val="6643990B"/>
    <w:rsid w:val="66B1DAAA"/>
    <w:rsid w:val="66DF5376"/>
    <w:rsid w:val="66FAF79E"/>
    <w:rsid w:val="678A9BEE"/>
    <w:rsid w:val="67B411CE"/>
    <w:rsid w:val="68093FCD"/>
    <w:rsid w:val="68A3A3A2"/>
    <w:rsid w:val="68A5E0F7"/>
    <w:rsid w:val="6908ED66"/>
    <w:rsid w:val="6A04AC55"/>
    <w:rsid w:val="6A3D1FCA"/>
    <w:rsid w:val="6AE44FC9"/>
    <w:rsid w:val="6AFFB146"/>
    <w:rsid w:val="6B3D5AC9"/>
    <w:rsid w:val="6B448971"/>
    <w:rsid w:val="6B58579C"/>
    <w:rsid w:val="6BB49D51"/>
    <w:rsid w:val="6BC50268"/>
    <w:rsid w:val="6BDE44ED"/>
    <w:rsid w:val="6BF9E58D"/>
    <w:rsid w:val="6C0840A3"/>
    <w:rsid w:val="6CC86B33"/>
    <w:rsid w:val="6CCDC83B"/>
    <w:rsid w:val="6CECBEDA"/>
    <w:rsid w:val="6D013D2E"/>
    <w:rsid w:val="6D356574"/>
    <w:rsid w:val="6D73D3BD"/>
    <w:rsid w:val="6D908811"/>
    <w:rsid w:val="6DE7DEC7"/>
    <w:rsid w:val="6E31F268"/>
    <w:rsid w:val="6E3EDDB7"/>
    <w:rsid w:val="6E5BE25C"/>
    <w:rsid w:val="6F66580F"/>
    <w:rsid w:val="6F68F8B7"/>
    <w:rsid w:val="6F6F51C8"/>
    <w:rsid w:val="6F899121"/>
    <w:rsid w:val="711A2E1D"/>
    <w:rsid w:val="71E8CB20"/>
    <w:rsid w:val="7217ECA0"/>
    <w:rsid w:val="72500C86"/>
    <w:rsid w:val="72B44000"/>
    <w:rsid w:val="72FD5FCB"/>
    <w:rsid w:val="7332CAE0"/>
    <w:rsid w:val="735AE2E0"/>
    <w:rsid w:val="736B3F14"/>
    <w:rsid w:val="73F44D41"/>
    <w:rsid w:val="745A5A0A"/>
    <w:rsid w:val="7499C605"/>
    <w:rsid w:val="755D4B1B"/>
    <w:rsid w:val="75879E7A"/>
    <w:rsid w:val="75B32169"/>
    <w:rsid w:val="75BC45A8"/>
    <w:rsid w:val="75FD1AEA"/>
    <w:rsid w:val="769F977A"/>
    <w:rsid w:val="76DC91B9"/>
    <w:rsid w:val="7773B973"/>
    <w:rsid w:val="77EAFD9E"/>
    <w:rsid w:val="780098E9"/>
    <w:rsid w:val="780C67D1"/>
    <w:rsid w:val="780EE547"/>
    <w:rsid w:val="7845C075"/>
    <w:rsid w:val="78580D96"/>
    <w:rsid w:val="7871C1E8"/>
    <w:rsid w:val="78D7B2DE"/>
    <w:rsid w:val="79C5A74C"/>
    <w:rsid w:val="79F94184"/>
    <w:rsid w:val="7A4DE118"/>
    <w:rsid w:val="7A79A281"/>
    <w:rsid w:val="7A7D5D19"/>
    <w:rsid w:val="7A7F94C2"/>
    <w:rsid w:val="7AA74DA0"/>
    <w:rsid w:val="7B4FF37A"/>
    <w:rsid w:val="7B5303C7"/>
    <w:rsid w:val="7B59A0FF"/>
    <w:rsid w:val="7B616B85"/>
    <w:rsid w:val="7C2D4086"/>
    <w:rsid w:val="7C9945DD"/>
    <w:rsid w:val="7CC9A986"/>
    <w:rsid w:val="7CE5FBBC"/>
    <w:rsid w:val="7D077F09"/>
    <w:rsid w:val="7D722584"/>
    <w:rsid w:val="7DA1906E"/>
    <w:rsid w:val="7DC33210"/>
    <w:rsid w:val="7DDF2A06"/>
    <w:rsid w:val="7E7F7A23"/>
    <w:rsid w:val="7EA644E6"/>
    <w:rsid w:val="7EF589D7"/>
    <w:rsid w:val="7FA797D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2C989"/>
  <w15:chartTrackingRefBased/>
  <w15:docId w15:val="{CCA85D9E-39D7-450B-9E67-43C60CF2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71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E3711"/>
    <w:pPr>
      <w:spacing w:before="100" w:beforeAutospacing="1" w:after="100" w:afterAutospacing="1"/>
      <w:outlineLvl w:val="0"/>
    </w:pPr>
    <w:rPr>
      <w:b/>
      <w:bCs/>
      <w:kern w:val="36"/>
      <w:sz w:val="48"/>
      <w:szCs w:val="48"/>
      <w:lang w:eastAsia="zh-CN"/>
    </w:rPr>
  </w:style>
  <w:style w:type="paragraph" w:styleId="Heading6">
    <w:name w:val="heading 6"/>
    <w:basedOn w:val="Normal"/>
    <w:next w:val="Normal"/>
    <w:link w:val="Heading6Char"/>
    <w:uiPriority w:val="9"/>
    <w:unhideWhenUsed/>
    <w:qFormat/>
    <w:rsid w:val="001D68BC"/>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711"/>
    <w:rPr>
      <w:rFonts w:ascii="Times New Roman" w:eastAsia="Times New Roman" w:hAnsi="Times New Roman" w:cs="Times New Roman"/>
      <w:b/>
      <w:bCs/>
      <w:kern w:val="36"/>
      <w:sz w:val="48"/>
      <w:szCs w:val="48"/>
      <w:lang w:eastAsia="zh-CN"/>
    </w:rPr>
  </w:style>
  <w:style w:type="paragraph" w:styleId="ListParagraph">
    <w:name w:val="List Paragraph"/>
    <w:aliases w:val="Recommendation,List Paragraph11,L,CV text,Table text,F5 List Paragraph,Dot pt,List Paragraph111,Medium Grid 1 - Accent 21,Numbered Paragraph,List Paragraph2,Bulleted Para,NFP GP Bulleted List,FooterText,numbered,列出段落,Heading II,References"/>
    <w:basedOn w:val="Normal"/>
    <w:link w:val="ListParagraphChar"/>
    <w:uiPriority w:val="34"/>
    <w:qFormat/>
    <w:rsid w:val="00BE3711"/>
    <w:pPr>
      <w:ind w:left="720"/>
      <w:contextualSpacing/>
    </w:pPr>
  </w:style>
  <w:style w:type="character" w:customStyle="1" w:styleId="ListParagraphChar">
    <w:name w:val="List Paragraph Char"/>
    <w:aliases w:val="Recommendation Char,List Paragraph11 Char,L Char,CV text Char,Table text Char,F5 List Paragraph Char,Dot pt Char,List Paragraph111 Char,Medium Grid 1 - Accent 21 Char,Numbered Paragraph Char,List Paragraph2 Char,Bulleted Para Char"/>
    <w:link w:val="ListParagraph"/>
    <w:uiPriority w:val="34"/>
    <w:qFormat/>
    <w:locked/>
    <w:rsid w:val="00BE3711"/>
    <w:rPr>
      <w:rFonts w:ascii="Times New Roman" w:eastAsia="Times New Roman" w:hAnsi="Times New Roman" w:cs="Times New Roman"/>
      <w:sz w:val="24"/>
      <w:szCs w:val="24"/>
    </w:rPr>
  </w:style>
  <w:style w:type="paragraph" w:customStyle="1" w:styleId="Default">
    <w:name w:val="Default"/>
    <w:rsid w:val="001E4A78"/>
    <w:pPr>
      <w:autoSpaceDE w:val="0"/>
      <w:autoSpaceDN w:val="0"/>
      <w:adjustRightInd w:val="0"/>
      <w:spacing w:after="0" w:line="240" w:lineRule="auto"/>
    </w:pPr>
    <w:rPr>
      <w:rFonts w:ascii="Aptos" w:hAnsi="Aptos" w:cs="Aptos"/>
      <w:color w:val="000000"/>
      <w:sz w:val="24"/>
      <w:szCs w:val="24"/>
    </w:rPr>
  </w:style>
  <w:style w:type="character" w:customStyle="1" w:styleId="normaltextrun">
    <w:name w:val="normaltextrun"/>
    <w:basedOn w:val="DefaultParagraphFont"/>
    <w:rsid w:val="00FA4034"/>
  </w:style>
  <w:style w:type="paragraph" w:styleId="Header">
    <w:name w:val="header"/>
    <w:basedOn w:val="Normal"/>
    <w:link w:val="HeaderChar"/>
    <w:uiPriority w:val="99"/>
    <w:unhideWhenUsed/>
    <w:rsid w:val="008438B2"/>
    <w:pPr>
      <w:tabs>
        <w:tab w:val="center" w:pos="4513"/>
        <w:tab w:val="right" w:pos="9026"/>
      </w:tabs>
    </w:pPr>
  </w:style>
  <w:style w:type="character" w:customStyle="1" w:styleId="HeaderChar">
    <w:name w:val="Header Char"/>
    <w:basedOn w:val="DefaultParagraphFont"/>
    <w:link w:val="Header"/>
    <w:uiPriority w:val="99"/>
    <w:rsid w:val="008438B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438B2"/>
    <w:pPr>
      <w:tabs>
        <w:tab w:val="center" w:pos="4513"/>
        <w:tab w:val="right" w:pos="9026"/>
      </w:tabs>
    </w:pPr>
  </w:style>
  <w:style w:type="character" w:customStyle="1" w:styleId="FooterChar">
    <w:name w:val="Footer Char"/>
    <w:basedOn w:val="DefaultParagraphFont"/>
    <w:link w:val="Footer"/>
    <w:uiPriority w:val="99"/>
    <w:rsid w:val="008438B2"/>
    <w:rPr>
      <w:rFonts w:ascii="Times New Roman" w:eastAsia="Times New Roman" w:hAnsi="Times New Roman" w:cs="Times New Roman"/>
      <w:sz w:val="24"/>
      <w:szCs w:val="24"/>
    </w:rPr>
  </w:style>
  <w:style w:type="paragraph" w:styleId="Revision">
    <w:name w:val="Revision"/>
    <w:hidden/>
    <w:uiPriority w:val="99"/>
    <w:semiHidden/>
    <w:rsid w:val="009F16B2"/>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C7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7E53A3"/>
    <w:rPr>
      <w:color w:val="0563C1" w:themeColor="hyperlink"/>
      <w:u w:val="single"/>
    </w:rPr>
  </w:style>
  <w:style w:type="character" w:styleId="UnresolvedMention">
    <w:name w:val="Unresolved Mention"/>
    <w:basedOn w:val="DefaultParagraphFont"/>
    <w:uiPriority w:val="99"/>
    <w:semiHidden/>
    <w:unhideWhenUsed/>
    <w:rsid w:val="007E53A3"/>
    <w:rPr>
      <w:color w:val="605E5C"/>
      <w:shd w:val="clear" w:color="auto" w:fill="E1DFDD"/>
    </w:rPr>
  </w:style>
  <w:style w:type="character" w:styleId="CommentReference">
    <w:name w:val="annotation reference"/>
    <w:basedOn w:val="DefaultParagraphFont"/>
    <w:uiPriority w:val="99"/>
    <w:semiHidden/>
    <w:unhideWhenUsed/>
    <w:rsid w:val="00C67815"/>
    <w:rPr>
      <w:sz w:val="16"/>
      <w:szCs w:val="16"/>
    </w:rPr>
  </w:style>
  <w:style w:type="paragraph" w:styleId="CommentText">
    <w:name w:val="annotation text"/>
    <w:basedOn w:val="Normal"/>
    <w:link w:val="CommentTextChar"/>
    <w:uiPriority w:val="99"/>
    <w:unhideWhenUsed/>
    <w:rsid w:val="00C67815"/>
    <w:rPr>
      <w:sz w:val="20"/>
      <w:szCs w:val="20"/>
    </w:rPr>
  </w:style>
  <w:style w:type="character" w:customStyle="1" w:styleId="CommentTextChar">
    <w:name w:val="Comment Text Char"/>
    <w:basedOn w:val="DefaultParagraphFont"/>
    <w:link w:val="CommentText"/>
    <w:uiPriority w:val="99"/>
    <w:rsid w:val="00C678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67815"/>
    <w:rPr>
      <w:b/>
      <w:bCs/>
    </w:rPr>
  </w:style>
  <w:style w:type="character" w:customStyle="1" w:styleId="CommentSubjectChar">
    <w:name w:val="Comment Subject Char"/>
    <w:basedOn w:val="CommentTextChar"/>
    <w:link w:val="CommentSubject"/>
    <w:uiPriority w:val="99"/>
    <w:semiHidden/>
    <w:rsid w:val="00C678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6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E41"/>
    <w:rPr>
      <w:rFonts w:ascii="Segoe UI" w:eastAsia="Times New Roman" w:hAnsi="Segoe UI" w:cs="Segoe UI"/>
      <w:sz w:val="18"/>
      <w:szCs w:val="18"/>
    </w:rPr>
  </w:style>
  <w:style w:type="character" w:styleId="Emphasis">
    <w:name w:val="Emphasis"/>
    <w:basedOn w:val="DefaultParagraphFont"/>
    <w:uiPriority w:val="20"/>
    <w:qFormat/>
    <w:rsid w:val="0012551F"/>
    <w:rPr>
      <w:i/>
      <w:iCs/>
    </w:rPr>
  </w:style>
  <w:style w:type="character" w:customStyle="1" w:styleId="eop">
    <w:name w:val="eop"/>
    <w:basedOn w:val="DefaultParagraphFont"/>
    <w:rsid w:val="0012551F"/>
  </w:style>
  <w:style w:type="paragraph" w:customStyle="1" w:styleId="paragraph">
    <w:name w:val="paragraph"/>
    <w:basedOn w:val="Normal"/>
    <w:rsid w:val="00B41078"/>
    <w:pPr>
      <w:spacing w:before="100" w:beforeAutospacing="1" w:after="100" w:afterAutospacing="1"/>
    </w:pPr>
    <w:rPr>
      <w:lang w:eastAsia="en-GB"/>
    </w:rPr>
  </w:style>
  <w:style w:type="character" w:styleId="Strong">
    <w:name w:val="Strong"/>
    <w:basedOn w:val="DefaultParagraphFont"/>
    <w:uiPriority w:val="22"/>
    <w:qFormat/>
    <w:rsid w:val="00B41078"/>
    <w:rPr>
      <w:b/>
      <w:bCs/>
    </w:rPr>
  </w:style>
  <w:style w:type="paragraph" w:styleId="NormalWeb">
    <w:name w:val="Normal (Web)"/>
    <w:basedOn w:val="Normal"/>
    <w:uiPriority w:val="99"/>
    <w:unhideWhenUsed/>
    <w:rsid w:val="0014409F"/>
    <w:pPr>
      <w:spacing w:before="100" w:beforeAutospacing="1" w:after="100" w:afterAutospacing="1"/>
    </w:pPr>
    <w:rPr>
      <w:lang w:eastAsia="en-GB"/>
    </w:rPr>
  </w:style>
  <w:style w:type="character" w:styleId="FootnoteReference">
    <w:name w:val="footnote reference"/>
    <w:basedOn w:val="DefaultParagraphFont"/>
    <w:uiPriority w:val="99"/>
    <w:semiHidden/>
    <w:unhideWhenUsed/>
    <w:qFormat/>
    <w:rsid w:val="0014409F"/>
    <w:rPr>
      <w:vertAlign w:val="superscript"/>
    </w:rPr>
  </w:style>
  <w:style w:type="paragraph" w:styleId="FootnoteText">
    <w:name w:val="footnote text"/>
    <w:basedOn w:val="Normal"/>
    <w:link w:val="FootnoteTextChar"/>
    <w:unhideWhenUsed/>
    <w:qFormat/>
    <w:rsid w:val="0014409F"/>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qFormat/>
    <w:rsid w:val="0014409F"/>
    <w:rPr>
      <w:sz w:val="20"/>
      <w:szCs w:val="20"/>
    </w:rPr>
  </w:style>
  <w:style w:type="character" w:customStyle="1" w:styleId="whitespace-nowrap">
    <w:name w:val="whitespace-nowrap!"/>
    <w:basedOn w:val="DefaultParagraphFont"/>
    <w:rsid w:val="00B73F8B"/>
  </w:style>
  <w:style w:type="character" w:customStyle="1" w:styleId="Heading6Char">
    <w:name w:val="Heading 6 Char"/>
    <w:basedOn w:val="DefaultParagraphFont"/>
    <w:link w:val="Heading6"/>
    <w:uiPriority w:val="9"/>
    <w:rsid w:val="001D68BC"/>
    <w:rPr>
      <w:rFonts w:asciiTheme="majorHAnsi" w:eastAsiaTheme="majorEastAsia" w:hAnsiTheme="majorHAnsi" w:cstheme="majorBidi"/>
      <w:color w:val="1F3763" w:themeColor="accent1" w:themeShade="7F"/>
      <w:sz w:val="24"/>
      <w:szCs w:val="24"/>
    </w:rPr>
  </w:style>
  <w:style w:type="character" w:customStyle="1" w:styleId="superscript">
    <w:name w:val="superscript"/>
    <w:basedOn w:val="DefaultParagraphFont"/>
    <w:rsid w:val="004742DD"/>
  </w:style>
  <w:style w:type="character" w:customStyle="1" w:styleId="contentcontrolboundarysink">
    <w:name w:val="contentcontrolboundarysink"/>
    <w:basedOn w:val="DefaultParagraphFont"/>
    <w:rsid w:val="00EA7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99460">
      <w:bodyDiv w:val="1"/>
      <w:marLeft w:val="0"/>
      <w:marRight w:val="0"/>
      <w:marTop w:val="0"/>
      <w:marBottom w:val="0"/>
      <w:divBdr>
        <w:top w:val="none" w:sz="0" w:space="0" w:color="auto"/>
        <w:left w:val="none" w:sz="0" w:space="0" w:color="auto"/>
        <w:bottom w:val="none" w:sz="0" w:space="0" w:color="auto"/>
        <w:right w:val="none" w:sz="0" w:space="0" w:color="auto"/>
      </w:divBdr>
      <w:divsChild>
        <w:div w:id="1988128749">
          <w:marLeft w:val="0"/>
          <w:marRight w:val="0"/>
          <w:marTop w:val="0"/>
          <w:marBottom w:val="0"/>
          <w:divBdr>
            <w:top w:val="none" w:sz="0" w:space="0" w:color="auto"/>
            <w:left w:val="none" w:sz="0" w:space="0" w:color="auto"/>
            <w:bottom w:val="none" w:sz="0" w:space="0" w:color="auto"/>
            <w:right w:val="none" w:sz="0" w:space="0" w:color="auto"/>
          </w:divBdr>
          <w:divsChild>
            <w:div w:id="1878007443">
              <w:marLeft w:val="0"/>
              <w:marRight w:val="0"/>
              <w:marTop w:val="0"/>
              <w:marBottom w:val="0"/>
              <w:divBdr>
                <w:top w:val="none" w:sz="0" w:space="0" w:color="auto"/>
                <w:left w:val="none" w:sz="0" w:space="0" w:color="auto"/>
                <w:bottom w:val="none" w:sz="0" w:space="0" w:color="auto"/>
                <w:right w:val="none" w:sz="0" w:space="0" w:color="auto"/>
              </w:divBdr>
              <w:divsChild>
                <w:div w:id="331371549">
                  <w:marLeft w:val="0"/>
                  <w:marRight w:val="0"/>
                  <w:marTop w:val="0"/>
                  <w:marBottom w:val="0"/>
                  <w:divBdr>
                    <w:top w:val="none" w:sz="0" w:space="0" w:color="auto"/>
                    <w:left w:val="none" w:sz="0" w:space="0" w:color="auto"/>
                    <w:bottom w:val="none" w:sz="0" w:space="0" w:color="auto"/>
                    <w:right w:val="none" w:sz="0" w:space="0" w:color="auto"/>
                  </w:divBdr>
                  <w:divsChild>
                    <w:div w:id="422188517">
                      <w:marLeft w:val="0"/>
                      <w:marRight w:val="0"/>
                      <w:marTop w:val="0"/>
                      <w:marBottom w:val="0"/>
                      <w:divBdr>
                        <w:top w:val="none" w:sz="0" w:space="0" w:color="auto"/>
                        <w:left w:val="none" w:sz="0" w:space="0" w:color="auto"/>
                        <w:bottom w:val="none" w:sz="0" w:space="0" w:color="auto"/>
                        <w:right w:val="none" w:sz="0" w:space="0" w:color="auto"/>
                      </w:divBdr>
                    </w:div>
                  </w:divsChild>
                </w:div>
                <w:div w:id="1453330243">
                  <w:marLeft w:val="0"/>
                  <w:marRight w:val="0"/>
                  <w:marTop w:val="0"/>
                  <w:marBottom w:val="0"/>
                  <w:divBdr>
                    <w:top w:val="none" w:sz="0" w:space="0" w:color="auto"/>
                    <w:left w:val="none" w:sz="0" w:space="0" w:color="auto"/>
                    <w:bottom w:val="none" w:sz="0" w:space="0" w:color="auto"/>
                    <w:right w:val="none" w:sz="0" w:space="0" w:color="auto"/>
                  </w:divBdr>
                  <w:divsChild>
                    <w:div w:id="1937975831">
                      <w:marLeft w:val="0"/>
                      <w:marRight w:val="0"/>
                      <w:marTop w:val="0"/>
                      <w:marBottom w:val="0"/>
                      <w:divBdr>
                        <w:top w:val="none" w:sz="0" w:space="0" w:color="auto"/>
                        <w:left w:val="none" w:sz="0" w:space="0" w:color="auto"/>
                        <w:bottom w:val="none" w:sz="0" w:space="0" w:color="auto"/>
                        <w:right w:val="none" w:sz="0" w:space="0" w:color="auto"/>
                      </w:divBdr>
                      <w:divsChild>
                        <w:div w:id="36009672">
                          <w:marLeft w:val="0"/>
                          <w:marRight w:val="0"/>
                          <w:marTop w:val="0"/>
                          <w:marBottom w:val="0"/>
                          <w:divBdr>
                            <w:top w:val="none" w:sz="0" w:space="0" w:color="auto"/>
                            <w:left w:val="none" w:sz="0" w:space="0" w:color="auto"/>
                            <w:bottom w:val="none" w:sz="0" w:space="0" w:color="auto"/>
                            <w:right w:val="none" w:sz="0" w:space="0" w:color="auto"/>
                          </w:divBdr>
                          <w:divsChild>
                            <w:div w:id="27475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067558">
      <w:bodyDiv w:val="1"/>
      <w:marLeft w:val="0"/>
      <w:marRight w:val="0"/>
      <w:marTop w:val="0"/>
      <w:marBottom w:val="0"/>
      <w:divBdr>
        <w:top w:val="none" w:sz="0" w:space="0" w:color="auto"/>
        <w:left w:val="none" w:sz="0" w:space="0" w:color="auto"/>
        <w:bottom w:val="none" w:sz="0" w:space="0" w:color="auto"/>
        <w:right w:val="none" w:sz="0" w:space="0" w:color="auto"/>
      </w:divBdr>
      <w:divsChild>
        <w:div w:id="165168080">
          <w:marLeft w:val="446"/>
          <w:marRight w:val="0"/>
          <w:marTop w:val="120"/>
          <w:marBottom w:val="120"/>
          <w:divBdr>
            <w:top w:val="none" w:sz="0" w:space="0" w:color="auto"/>
            <w:left w:val="none" w:sz="0" w:space="0" w:color="auto"/>
            <w:bottom w:val="none" w:sz="0" w:space="0" w:color="auto"/>
            <w:right w:val="none" w:sz="0" w:space="0" w:color="auto"/>
          </w:divBdr>
        </w:div>
        <w:div w:id="1378579133">
          <w:marLeft w:val="446"/>
          <w:marRight w:val="0"/>
          <w:marTop w:val="120"/>
          <w:marBottom w:val="120"/>
          <w:divBdr>
            <w:top w:val="none" w:sz="0" w:space="0" w:color="auto"/>
            <w:left w:val="none" w:sz="0" w:space="0" w:color="auto"/>
            <w:bottom w:val="none" w:sz="0" w:space="0" w:color="auto"/>
            <w:right w:val="none" w:sz="0" w:space="0" w:color="auto"/>
          </w:divBdr>
        </w:div>
        <w:div w:id="1681852544">
          <w:marLeft w:val="446"/>
          <w:marRight w:val="0"/>
          <w:marTop w:val="120"/>
          <w:marBottom w:val="120"/>
          <w:divBdr>
            <w:top w:val="none" w:sz="0" w:space="0" w:color="auto"/>
            <w:left w:val="none" w:sz="0" w:space="0" w:color="auto"/>
            <w:bottom w:val="none" w:sz="0" w:space="0" w:color="auto"/>
            <w:right w:val="none" w:sz="0" w:space="0" w:color="auto"/>
          </w:divBdr>
        </w:div>
        <w:div w:id="1957592627">
          <w:marLeft w:val="446"/>
          <w:marRight w:val="0"/>
          <w:marTop w:val="120"/>
          <w:marBottom w:val="120"/>
          <w:divBdr>
            <w:top w:val="none" w:sz="0" w:space="0" w:color="auto"/>
            <w:left w:val="none" w:sz="0" w:space="0" w:color="auto"/>
            <w:bottom w:val="none" w:sz="0" w:space="0" w:color="auto"/>
            <w:right w:val="none" w:sz="0" w:space="0" w:color="auto"/>
          </w:divBdr>
        </w:div>
      </w:divsChild>
    </w:div>
    <w:div w:id="443117192">
      <w:bodyDiv w:val="1"/>
      <w:marLeft w:val="0"/>
      <w:marRight w:val="0"/>
      <w:marTop w:val="0"/>
      <w:marBottom w:val="0"/>
      <w:divBdr>
        <w:top w:val="none" w:sz="0" w:space="0" w:color="auto"/>
        <w:left w:val="none" w:sz="0" w:space="0" w:color="auto"/>
        <w:bottom w:val="none" w:sz="0" w:space="0" w:color="auto"/>
        <w:right w:val="none" w:sz="0" w:space="0" w:color="auto"/>
      </w:divBdr>
    </w:div>
    <w:div w:id="505630179">
      <w:bodyDiv w:val="1"/>
      <w:marLeft w:val="0"/>
      <w:marRight w:val="0"/>
      <w:marTop w:val="0"/>
      <w:marBottom w:val="0"/>
      <w:divBdr>
        <w:top w:val="none" w:sz="0" w:space="0" w:color="auto"/>
        <w:left w:val="none" w:sz="0" w:space="0" w:color="auto"/>
        <w:bottom w:val="none" w:sz="0" w:space="0" w:color="auto"/>
        <w:right w:val="none" w:sz="0" w:space="0" w:color="auto"/>
      </w:divBdr>
      <w:divsChild>
        <w:div w:id="24403608">
          <w:marLeft w:val="0"/>
          <w:marRight w:val="0"/>
          <w:marTop w:val="0"/>
          <w:marBottom w:val="0"/>
          <w:divBdr>
            <w:top w:val="none" w:sz="0" w:space="0" w:color="auto"/>
            <w:left w:val="none" w:sz="0" w:space="0" w:color="auto"/>
            <w:bottom w:val="none" w:sz="0" w:space="0" w:color="auto"/>
            <w:right w:val="none" w:sz="0" w:space="0" w:color="auto"/>
          </w:divBdr>
        </w:div>
        <w:div w:id="172232052">
          <w:marLeft w:val="0"/>
          <w:marRight w:val="0"/>
          <w:marTop w:val="0"/>
          <w:marBottom w:val="0"/>
          <w:divBdr>
            <w:top w:val="none" w:sz="0" w:space="0" w:color="auto"/>
            <w:left w:val="none" w:sz="0" w:space="0" w:color="auto"/>
            <w:bottom w:val="none" w:sz="0" w:space="0" w:color="auto"/>
            <w:right w:val="none" w:sz="0" w:space="0" w:color="auto"/>
          </w:divBdr>
        </w:div>
        <w:div w:id="1017853445">
          <w:marLeft w:val="0"/>
          <w:marRight w:val="0"/>
          <w:marTop w:val="0"/>
          <w:marBottom w:val="0"/>
          <w:divBdr>
            <w:top w:val="none" w:sz="0" w:space="0" w:color="auto"/>
            <w:left w:val="none" w:sz="0" w:space="0" w:color="auto"/>
            <w:bottom w:val="none" w:sz="0" w:space="0" w:color="auto"/>
            <w:right w:val="none" w:sz="0" w:space="0" w:color="auto"/>
          </w:divBdr>
        </w:div>
      </w:divsChild>
    </w:div>
    <w:div w:id="629551654">
      <w:bodyDiv w:val="1"/>
      <w:marLeft w:val="0"/>
      <w:marRight w:val="0"/>
      <w:marTop w:val="0"/>
      <w:marBottom w:val="0"/>
      <w:divBdr>
        <w:top w:val="none" w:sz="0" w:space="0" w:color="auto"/>
        <w:left w:val="none" w:sz="0" w:space="0" w:color="auto"/>
        <w:bottom w:val="none" w:sz="0" w:space="0" w:color="auto"/>
        <w:right w:val="none" w:sz="0" w:space="0" w:color="auto"/>
      </w:divBdr>
    </w:div>
    <w:div w:id="1070343740">
      <w:bodyDiv w:val="1"/>
      <w:marLeft w:val="0"/>
      <w:marRight w:val="0"/>
      <w:marTop w:val="0"/>
      <w:marBottom w:val="0"/>
      <w:divBdr>
        <w:top w:val="none" w:sz="0" w:space="0" w:color="auto"/>
        <w:left w:val="none" w:sz="0" w:space="0" w:color="auto"/>
        <w:bottom w:val="none" w:sz="0" w:space="0" w:color="auto"/>
        <w:right w:val="none" w:sz="0" w:space="0" w:color="auto"/>
      </w:divBdr>
    </w:div>
    <w:div w:id="1124619322">
      <w:bodyDiv w:val="1"/>
      <w:marLeft w:val="0"/>
      <w:marRight w:val="0"/>
      <w:marTop w:val="0"/>
      <w:marBottom w:val="0"/>
      <w:divBdr>
        <w:top w:val="none" w:sz="0" w:space="0" w:color="auto"/>
        <w:left w:val="none" w:sz="0" w:space="0" w:color="auto"/>
        <w:bottom w:val="none" w:sz="0" w:space="0" w:color="auto"/>
        <w:right w:val="none" w:sz="0" w:space="0" w:color="auto"/>
      </w:divBdr>
      <w:divsChild>
        <w:div w:id="611861400">
          <w:marLeft w:val="0"/>
          <w:marRight w:val="0"/>
          <w:marTop w:val="0"/>
          <w:marBottom w:val="0"/>
          <w:divBdr>
            <w:top w:val="none" w:sz="0" w:space="0" w:color="auto"/>
            <w:left w:val="none" w:sz="0" w:space="0" w:color="auto"/>
            <w:bottom w:val="none" w:sz="0" w:space="0" w:color="auto"/>
            <w:right w:val="none" w:sz="0" w:space="0" w:color="auto"/>
          </w:divBdr>
        </w:div>
        <w:div w:id="1036737044">
          <w:marLeft w:val="0"/>
          <w:marRight w:val="0"/>
          <w:marTop w:val="0"/>
          <w:marBottom w:val="0"/>
          <w:divBdr>
            <w:top w:val="none" w:sz="0" w:space="0" w:color="auto"/>
            <w:left w:val="none" w:sz="0" w:space="0" w:color="auto"/>
            <w:bottom w:val="none" w:sz="0" w:space="0" w:color="auto"/>
            <w:right w:val="none" w:sz="0" w:space="0" w:color="auto"/>
          </w:divBdr>
        </w:div>
        <w:div w:id="1450202759">
          <w:marLeft w:val="0"/>
          <w:marRight w:val="0"/>
          <w:marTop w:val="0"/>
          <w:marBottom w:val="0"/>
          <w:divBdr>
            <w:top w:val="none" w:sz="0" w:space="0" w:color="auto"/>
            <w:left w:val="none" w:sz="0" w:space="0" w:color="auto"/>
            <w:bottom w:val="none" w:sz="0" w:space="0" w:color="auto"/>
            <w:right w:val="none" w:sz="0" w:space="0" w:color="auto"/>
          </w:divBdr>
        </w:div>
      </w:divsChild>
    </w:div>
    <w:div w:id="1748964804">
      <w:bodyDiv w:val="1"/>
      <w:marLeft w:val="0"/>
      <w:marRight w:val="0"/>
      <w:marTop w:val="0"/>
      <w:marBottom w:val="0"/>
      <w:divBdr>
        <w:top w:val="none" w:sz="0" w:space="0" w:color="auto"/>
        <w:left w:val="none" w:sz="0" w:space="0" w:color="auto"/>
        <w:bottom w:val="none" w:sz="0" w:space="0" w:color="auto"/>
        <w:right w:val="none" w:sz="0" w:space="0" w:color="auto"/>
      </w:divBdr>
    </w:div>
    <w:div w:id="1755474545">
      <w:bodyDiv w:val="1"/>
      <w:marLeft w:val="0"/>
      <w:marRight w:val="0"/>
      <w:marTop w:val="0"/>
      <w:marBottom w:val="0"/>
      <w:divBdr>
        <w:top w:val="none" w:sz="0" w:space="0" w:color="auto"/>
        <w:left w:val="none" w:sz="0" w:space="0" w:color="auto"/>
        <w:bottom w:val="none" w:sz="0" w:space="0" w:color="auto"/>
        <w:right w:val="none" w:sz="0" w:space="0" w:color="auto"/>
      </w:divBdr>
      <w:divsChild>
        <w:div w:id="122502364">
          <w:marLeft w:val="446"/>
          <w:marRight w:val="0"/>
          <w:marTop w:val="0"/>
          <w:marBottom w:val="0"/>
          <w:divBdr>
            <w:top w:val="none" w:sz="0" w:space="0" w:color="auto"/>
            <w:left w:val="none" w:sz="0" w:space="0" w:color="auto"/>
            <w:bottom w:val="none" w:sz="0" w:space="0" w:color="auto"/>
            <w:right w:val="none" w:sz="0" w:space="0" w:color="auto"/>
          </w:divBdr>
        </w:div>
      </w:divsChild>
    </w:div>
    <w:div w:id="1789162158">
      <w:bodyDiv w:val="1"/>
      <w:marLeft w:val="0"/>
      <w:marRight w:val="0"/>
      <w:marTop w:val="0"/>
      <w:marBottom w:val="0"/>
      <w:divBdr>
        <w:top w:val="none" w:sz="0" w:space="0" w:color="auto"/>
        <w:left w:val="none" w:sz="0" w:space="0" w:color="auto"/>
        <w:bottom w:val="none" w:sz="0" w:space="0" w:color="auto"/>
        <w:right w:val="none" w:sz="0" w:space="0" w:color="auto"/>
      </w:divBdr>
      <w:divsChild>
        <w:div w:id="1091318773">
          <w:marLeft w:val="0"/>
          <w:marRight w:val="0"/>
          <w:marTop w:val="0"/>
          <w:marBottom w:val="0"/>
          <w:divBdr>
            <w:top w:val="none" w:sz="0" w:space="0" w:color="auto"/>
            <w:left w:val="none" w:sz="0" w:space="0" w:color="auto"/>
            <w:bottom w:val="none" w:sz="0" w:space="0" w:color="auto"/>
            <w:right w:val="none" w:sz="0" w:space="0" w:color="auto"/>
          </w:divBdr>
        </w:div>
        <w:div w:id="1488594169">
          <w:marLeft w:val="0"/>
          <w:marRight w:val="0"/>
          <w:marTop w:val="0"/>
          <w:marBottom w:val="0"/>
          <w:divBdr>
            <w:top w:val="none" w:sz="0" w:space="0" w:color="auto"/>
            <w:left w:val="none" w:sz="0" w:space="0" w:color="auto"/>
            <w:bottom w:val="none" w:sz="0" w:space="0" w:color="auto"/>
            <w:right w:val="none" w:sz="0" w:space="0" w:color="auto"/>
          </w:divBdr>
        </w:div>
        <w:div w:id="1678147298">
          <w:marLeft w:val="0"/>
          <w:marRight w:val="0"/>
          <w:marTop w:val="0"/>
          <w:marBottom w:val="0"/>
          <w:divBdr>
            <w:top w:val="none" w:sz="0" w:space="0" w:color="auto"/>
            <w:left w:val="none" w:sz="0" w:space="0" w:color="auto"/>
            <w:bottom w:val="none" w:sz="0" w:space="0" w:color="auto"/>
            <w:right w:val="none" w:sz="0" w:space="0" w:color="auto"/>
          </w:divBdr>
        </w:div>
      </w:divsChild>
    </w:div>
    <w:div w:id="2093813831">
      <w:bodyDiv w:val="1"/>
      <w:marLeft w:val="0"/>
      <w:marRight w:val="0"/>
      <w:marTop w:val="0"/>
      <w:marBottom w:val="0"/>
      <w:divBdr>
        <w:top w:val="none" w:sz="0" w:space="0" w:color="auto"/>
        <w:left w:val="none" w:sz="0" w:space="0" w:color="auto"/>
        <w:bottom w:val="none" w:sz="0" w:space="0" w:color="auto"/>
        <w:right w:val="none" w:sz="0" w:space="0" w:color="auto"/>
      </w:divBdr>
    </w:div>
    <w:div w:id="2102026194">
      <w:bodyDiv w:val="1"/>
      <w:marLeft w:val="0"/>
      <w:marRight w:val="0"/>
      <w:marTop w:val="0"/>
      <w:marBottom w:val="0"/>
      <w:divBdr>
        <w:top w:val="none" w:sz="0" w:space="0" w:color="auto"/>
        <w:left w:val="none" w:sz="0" w:space="0" w:color="auto"/>
        <w:bottom w:val="none" w:sz="0" w:space="0" w:color="auto"/>
        <w:right w:val="none" w:sz="0" w:space="0" w:color="auto"/>
      </w:divBdr>
      <w:divsChild>
        <w:div w:id="141239208">
          <w:marLeft w:val="0"/>
          <w:marRight w:val="0"/>
          <w:marTop w:val="0"/>
          <w:marBottom w:val="0"/>
          <w:divBdr>
            <w:top w:val="none" w:sz="0" w:space="0" w:color="auto"/>
            <w:left w:val="none" w:sz="0" w:space="0" w:color="auto"/>
            <w:bottom w:val="none" w:sz="0" w:space="0" w:color="auto"/>
            <w:right w:val="none" w:sz="0" w:space="0" w:color="auto"/>
          </w:divBdr>
          <w:divsChild>
            <w:div w:id="790710157">
              <w:marLeft w:val="0"/>
              <w:marRight w:val="0"/>
              <w:marTop w:val="0"/>
              <w:marBottom w:val="0"/>
              <w:divBdr>
                <w:top w:val="none" w:sz="0" w:space="0" w:color="auto"/>
                <w:left w:val="none" w:sz="0" w:space="0" w:color="auto"/>
                <w:bottom w:val="none" w:sz="0" w:space="0" w:color="auto"/>
                <w:right w:val="none" w:sz="0" w:space="0" w:color="auto"/>
              </w:divBdr>
              <w:divsChild>
                <w:div w:id="448163562">
                  <w:marLeft w:val="0"/>
                  <w:marRight w:val="0"/>
                  <w:marTop w:val="0"/>
                  <w:marBottom w:val="0"/>
                  <w:divBdr>
                    <w:top w:val="none" w:sz="0" w:space="0" w:color="auto"/>
                    <w:left w:val="none" w:sz="0" w:space="0" w:color="auto"/>
                    <w:bottom w:val="none" w:sz="0" w:space="0" w:color="auto"/>
                    <w:right w:val="none" w:sz="0" w:space="0" w:color="auto"/>
                  </w:divBdr>
                  <w:divsChild>
                    <w:div w:id="985548018">
                      <w:marLeft w:val="0"/>
                      <w:marRight w:val="0"/>
                      <w:marTop w:val="0"/>
                      <w:marBottom w:val="0"/>
                      <w:divBdr>
                        <w:top w:val="none" w:sz="0" w:space="0" w:color="auto"/>
                        <w:left w:val="none" w:sz="0" w:space="0" w:color="auto"/>
                        <w:bottom w:val="none" w:sz="0" w:space="0" w:color="auto"/>
                        <w:right w:val="none" w:sz="0" w:space="0" w:color="auto"/>
                      </w:divBdr>
                      <w:divsChild>
                        <w:div w:id="347410771">
                          <w:marLeft w:val="0"/>
                          <w:marRight w:val="0"/>
                          <w:marTop w:val="0"/>
                          <w:marBottom w:val="0"/>
                          <w:divBdr>
                            <w:top w:val="none" w:sz="0" w:space="0" w:color="auto"/>
                            <w:left w:val="none" w:sz="0" w:space="0" w:color="auto"/>
                            <w:bottom w:val="none" w:sz="0" w:space="0" w:color="auto"/>
                            <w:right w:val="none" w:sz="0" w:space="0" w:color="auto"/>
                          </w:divBdr>
                          <w:divsChild>
                            <w:div w:id="133414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castats.uneca.org/data/africa-sdg-track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uneca.org/sites/default/files/ACS/africa-stat-flash_october2025_en.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pository.uneca.org/entities/publication/0ee95b7b-8181-4661-bcf7-2fe8a4ccf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0E5343-A905-4BED-8C90-0E1B386A6A1B}">
  <ds:schemaRefs>
    <ds:schemaRef ds:uri="http://schemas.openxmlformats.org/officeDocument/2006/bibliography"/>
  </ds:schemaRefs>
</ds:datastoreItem>
</file>

<file path=customXml/itemProps2.xml><?xml version="1.0" encoding="utf-8"?>
<ds:datastoreItem xmlns:ds="http://schemas.openxmlformats.org/officeDocument/2006/customXml" ds:itemID="{78E8A8BB-ADFA-4843-9345-5DEB570FAC07}">
  <ds:schemaRefs>
    <ds:schemaRef ds:uri="http://schemas.microsoft.com/sharepoint/v3/contenttype/forms"/>
  </ds:schemaRefs>
</ds:datastoreItem>
</file>

<file path=customXml/itemProps3.xml><?xml version="1.0" encoding="utf-8"?>
<ds:datastoreItem xmlns:ds="http://schemas.openxmlformats.org/officeDocument/2006/customXml" ds:itemID="{C2819489-66FF-4BAD-88B1-A5CFD33AB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722c4-4b54-4565-9073-6b2cdb56319d"/>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29F458-1939-42B9-8D9E-56C981EB284F}">
  <ds:schemaRefs>
    <ds:schemaRef ds:uri="http://schemas.microsoft.com/office/2006/metadata/properties"/>
    <ds:schemaRef ds:uri="http://schemas.microsoft.com/office/infopath/2007/PartnerControls"/>
    <ds:schemaRef ds:uri="985ec44e-1bab-4c0b-9df0-6ba128686fc9"/>
    <ds:schemaRef ds:uri="5f6722c4-4b54-4565-9073-6b2cdb56319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Akrem Abdusemed</cp:lastModifiedBy>
  <cp:revision>4</cp:revision>
  <dcterms:created xsi:type="dcterms:W3CDTF">2026-02-17T11:51:00Z</dcterms:created>
  <dcterms:modified xsi:type="dcterms:W3CDTF">2026-02-17T12:04:00Z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y fmtid="{D5CDD505-2E9C-101B-9397-08002B2CF9AE}" pid="3" name="MediaServiceImageTags">
    <vt:lpwstr/>
  </property>
</Properties>
</file>