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1B645" w14:textId="77777777"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High-level BPM7 / 2025 SNA implementation workshop report</w:t>
      </w:r>
    </w:p>
    <w:p w14:paraId="38DA4FA8"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b/>
          <w:bCs/>
        </w:rPr>
        <w:t>Addis Ababa, Ethiopia | 31 March – 2 April 2026</w:t>
      </w:r>
    </w:p>
    <w:p w14:paraId="2A2EAAA9" w14:textId="44CAAF2E" w:rsidR="00F3680E" w:rsidRPr="00F3680E" w:rsidRDefault="00F3680E" w:rsidP="00F3680E">
      <w:pPr>
        <w:jc w:val="both"/>
        <w:rPr>
          <w:rFonts w:ascii="Times New Roman" w:hAnsi="Times New Roman" w:cs="Times New Roman"/>
        </w:rPr>
      </w:pPr>
      <w:r w:rsidRPr="00F3680E">
        <w:rPr>
          <w:rFonts w:ascii="Times New Roman" w:hAnsi="Times New Roman" w:cs="Times New Roman"/>
          <w:b/>
          <w:bCs/>
        </w:rPr>
        <w:t>Organized by:</w:t>
      </w:r>
      <w:r w:rsidRPr="00F3680E">
        <w:rPr>
          <w:rFonts w:ascii="Times New Roman" w:hAnsi="Times New Roman" w:cs="Times New Roman"/>
        </w:rPr>
        <w:t xml:space="preserve"> United Nations Economic Commission for Africa (UNECA), African </w:t>
      </w:r>
      <w:r w:rsidRPr="00AD393E">
        <w:rPr>
          <w:rFonts w:ascii="Times New Roman" w:hAnsi="Times New Roman" w:cs="Times New Roman"/>
        </w:rPr>
        <w:t>Center</w:t>
      </w:r>
      <w:r w:rsidRPr="00F3680E">
        <w:rPr>
          <w:rFonts w:ascii="Times New Roman" w:hAnsi="Times New Roman" w:cs="Times New Roman"/>
        </w:rPr>
        <w:t xml:space="preserve"> for Statistics (ACS), African Union Institute for Statistics (STATAFRIC), International Monetary Fund (IMF), and partner institutions. </w:t>
      </w:r>
    </w:p>
    <w:p w14:paraId="5B55EBEF" w14:textId="77777777"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Executive summary</w:t>
      </w:r>
    </w:p>
    <w:p w14:paraId="0A49282A" w14:textId="0CBF0E1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High-level BPM7 / 2025 SNA implementation workshop, held in Addis Ababa from 31 March to 2 April 2026, brought together senior officials, national accounts and balance of payments compilers, central bank representatives, regional institutions, and international partners to reflect on Africa’s experience with previous standards and to define a practical way forward for the next transition cycle. </w:t>
      </w:r>
      <w:r w:rsidRPr="00AD393E">
        <w:rPr>
          <w:rFonts w:ascii="Times New Roman" w:hAnsi="Times New Roman" w:cs="Times New Roman"/>
        </w:rPr>
        <w:t>The i</w:t>
      </w:r>
      <w:r w:rsidRPr="00F3680E">
        <w:rPr>
          <w:rFonts w:ascii="Times New Roman" w:hAnsi="Times New Roman" w:cs="Times New Roman"/>
        </w:rPr>
        <w:t xml:space="preserve">mplementation of BPM7 and the 2025 SNA should not be viewed as a narrow methodological revision, but as a long-term institutional modernization agenda affecting the entire macroeconomic statistical system. </w:t>
      </w:r>
    </w:p>
    <w:p w14:paraId="33967BCC"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took place at a moment when African economies and African statistical systems are being reshaped by digitalization, globalization, increasingly complex financial transactions, pressure for greater policy responsiveness, and demand for more coherent, timely, and internationally comparable macroeconomic data. Participants emphasized that these pressures make the move toward BPM7 and the 2025 SNA both necessary and urgent. At the same time, they recognized that many countries still carry unresolved weaknesses from the previous implementation cycle, including incomplete source data, uneven institutional coordination, irregular reporting, capacity shortages, weak administrative records, and fragile financing arrangements. These unresolved issues must be confronted directly if the next transition is to be credible and sustainable. </w:t>
      </w:r>
    </w:p>
    <w:p w14:paraId="2F17FEDA" w14:textId="46D770F8"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discussions showed that Africa has made meaningful progress under the 2008 SNA and BPM6. Around </w:t>
      </w:r>
      <w:r w:rsidRPr="00AD393E">
        <w:rPr>
          <w:rFonts w:ascii="Times New Roman" w:hAnsi="Times New Roman" w:cs="Times New Roman"/>
        </w:rPr>
        <w:t>40 African countries now compile and disseminate national accounts broadly aligned with the 2008 SNA, and many major transitions occurred</w:t>
      </w:r>
      <w:r w:rsidRPr="00F3680E">
        <w:rPr>
          <w:rFonts w:ascii="Times New Roman" w:hAnsi="Times New Roman" w:cs="Times New Roman"/>
        </w:rPr>
        <w:t xml:space="preserve"> between 2013 and 2018. </w:t>
      </w:r>
      <w:proofErr w:type="gramStart"/>
      <w:r w:rsidRPr="00F3680E">
        <w:rPr>
          <w:rFonts w:ascii="Times New Roman" w:hAnsi="Times New Roman" w:cs="Times New Roman"/>
        </w:rPr>
        <w:t>A number of</w:t>
      </w:r>
      <w:proofErr w:type="gramEnd"/>
      <w:r w:rsidRPr="00F3680E">
        <w:rPr>
          <w:rFonts w:ascii="Times New Roman" w:hAnsi="Times New Roman" w:cs="Times New Roman"/>
        </w:rPr>
        <w:t xml:space="preserve"> countries updated classifications, </w:t>
      </w:r>
      <w:r w:rsidRPr="00AD393E">
        <w:rPr>
          <w:rFonts w:ascii="Times New Roman" w:hAnsi="Times New Roman" w:cs="Times New Roman"/>
        </w:rPr>
        <w:t>broadened the scope of accounts, expanded institutional-sector coverage, and carried out GDP rebasing exercises, thereby strengthening</w:t>
      </w:r>
      <w:r w:rsidRPr="00F3680E">
        <w:rPr>
          <w:rFonts w:ascii="Times New Roman" w:hAnsi="Times New Roman" w:cs="Times New Roman"/>
        </w:rPr>
        <w:t xml:space="preserve"> the relevance of macroeconomic aggregates. Yet </w:t>
      </w:r>
      <w:r w:rsidRPr="00AD393E">
        <w:rPr>
          <w:rFonts w:ascii="Times New Roman" w:hAnsi="Times New Roman" w:cs="Times New Roman"/>
        </w:rPr>
        <w:t>progress</w:t>
      </w:r>
      <w:r w:rsidRPr="00F3680E">
        <w:rPr>
          <w:rFonts w:ascii="Times New Roman" w:hAnsi="Times New Roman" w:cs="Times New Roman"/>
        </w:rPr>
        <w:t xml:space="preserve"> remains uneven. Some countries continue to rely on older frameworks or partial accounts, and reporting to international questionnaires remains irregular in several cases. These disparities reflect differences in institutional maturity, data ecosystems, survey programs, staffing, technical infrastructure, and the depth of collaboration among national statistical offices, central banks, ministries of finance, tax administrations, customs authorities, and other data-producing institutions. </w:t>
      </w:r>
    </w:p>
    <w:p w14:paraId="4698BE72" w14:textId="0FFFC9FD"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Participants identified several lessons from the previous implementation cycle. Reforms were more successful where they were backed by strong national leadership, clear institutional mandates, phased strategies, close collaboration between central banks and national statistical offices, and practical technical support tied to actual production processes. Peer learning was also highlighted as especially valuable. </w:t>
      </w:r>
    </w:p>
    <w:p w14:paraId="6CCEFFAA"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lastRenderedPageBreak/>
        <w:t xml:space="preserve">A central conclusion of the workshop was that readiness must become a core organizing principle of the transition to BPM7 and the 2025 SNA. Countries will not all start from the same position and should not be expected to move in identical ways or at the same speed. Instead, the transition should begin with country-specific readiness assessments covering legal frameworks, institutional arrangements, staff capacity, source data, information technology, methodological gaps, and training needs. These assessments should then inform sequenced national transition roadmaps with milestones, responsibilities, and realistic deliverables. Regional and international support should align with these country-led roadmaps rather than substitute for them. </w:t>
      </w:r>
    </w:p>
    <w:p w14:paraId="6F59A24A" w14:textId="77777777" w:rsidR="006A6505" w:rsidRDefault="00F3680E" w:rsidP="00F3680E">
      <w:pPr>
        <w:jc w:val="both"/>
        <w:rPr>
          <w:rFonts w:ascii="Times New Roman" w:hAnsi="Times New Roman" w:cs="Times New Roman"/>
        </w:rPr>
      </w:pPr>
      <w:r w:rsidRPr="00F3680E">
        <w:rPr>
          <w:rFonts w:ascii="Times New Roman" w:hAnsi="Times New Roman" w:cs="Times New Roman"/>
        </w:rPr>
        <w:t xml:space="preserve">The workshop also emphasized that successful implementation requires more than training events. Countries will need sustained technical assistance, mentoring, practical guidance, reusable technical materials, stronger documentation, and systems for retaining institutional memory. </w:t>
      </w:r>
    </w:p>
    <w:p w14:paraId="301E98CA" w14:textId="41EE55AD"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Overall, the workshop concluded that BPM7 and the 2025 SNA can become an opportunity not only to revise standards, but to strengthen the foundations of macroeconomic statistics across Africa. Achieving this will require national ownership, realistic sequencing, stronger data ecosystems, inter-agency coordination, sustained investment in human and technical capacity, practical regional collaboration, and more disciplined follow-up. The next implementation cycle should therefore be designed not as a one-off reform, but as a structured transformation agenda that builds production capacity, institutional resilience, and statistical credibility over time. </w:t>
      </w:r>
    </w:p>
    <w:p w14:paraId="23B08000" w14:textId="77777777" w:rsidR="00F3680E" w:rsidRPr="00AD393E" w:rsidRDefault="00F3680E" w:rsidP="00F3680E">
      <w:pPr>
        <w:jc w:val="both"/>
        <w:rPr>
          <w:rFonts w:ascii="Times New Roman" w:hAnsi="Times New Roman" w:cs="Times New Roman"/>
          <w:b/>
          <w:bCs/>
        </w:rPr>
      </w:pPr>
    </w:p>
    <w:p w14:paraId="20D839ED" w14:textId="5215A6E5"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1. Introduction</w:t>
      </w:r>
    </w:p>
    <w:p w14:paraId="223309F3" w14:textId="02172865"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High-level BPM7 / 2025 SNA implementation workshop was convened in Addis Ababa, Ethiopia, from 31 March to 2 April 2026. It was jointly organized by UNECA, ACS, STATAFRIC, IMF, and partner institutions. The event brought together a diverse </w:t>
      </w:r>
      <w:r w:rsidRPr="00AD393E">
        <w:rPr>
          <w:rFonts w:ascii="Times New Roman" w:hAnsi="Times New Roman" w:cs="Times New Roman"/>
        </w:rPr>
        <w:t>yet strategically important group of participants: senior officials, national accounts experts, balance-of-payments</w:t>
      </w:r>
      <w:r w:rsidRPr="00F3680E">
        <w:rPr>
          <w:rFonts w:ascii="Times New Roman" w:hAnsi="Times New Roman" w:cs="Times New Roman"/>
        </w:rPr>
        <w:t xml:space="preserve"> compilers, central bank representatives, regional economic communities, and international organizations. This composition reflected the workshop’s dual purpose. On one hand, it was a forum for technical reflection on the implementation of the 2008 SNA and BPM6. On the other hand, it was a high-level strategic space for defining the governance, sequencing, and support architecture required for the transition to BPM7 and the 2025 SNA. </w:t>
      </w:r>
    </w:p>
    <w:p w14:paraId="1B116262" w14:textId="4D7564E9"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Africa’s macroeconomic statistical systems face growing pressure to respond to structural </w:t>
      </w:r>
      <w:proofErr w:type="gramStart"/>
      <w:r w:rsidRPr="00F3680E">
        <w:rPr>
          <w:rFonts w:ascii="Times New Roman" w:hAnsi="Times New Roman" w:cs="Times New Roman"/>
        </w:rPr>
        <w:t>change</w:t>
      </w:r>
      <w:proofErr w:type="gramEnd"/>
      <w:r w:rsidRPr="00F3680E">
        <w:rPr>
          <w:rFonts w:ascii="Times New Roman" w:hAnsi="Times New Roman" w:cs="Times New Roman"/>
        </w:rPr>
        <w:t xml:space="preserve"> in the economy while maintaining coherence, credibility, and comparability. Digital platforms, changing production structures, more sophisticated financial transactions, cross-border flows, and sustainability concerns are all creating new measurement demands. Policymakers, development partners, researchers, and markets increasingly expect macroeconomic statistics to be timely, comprehensive, and analytically useful. Against this background, the new international standards are not optional refinements. They are part of a broader reconfiguration of how economic activity is measured and interpreted. </w:t>
      </w:r>
    </w:p>
    <w:p w14:paraId="04F7F870"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At the same time, the workshop acknowledged that the continent enters this new phase with a mixed legacy. The implementation of the 2008 SNA and BPM6 brought substantial gains in many countries, but those </w:t>
      </w:r>
      <w:r w:rsidRPr="00F3680E">
        <w:rPr>
          <w:rFonts w:ascii="Times New Roman" w:hAnsi="Times New Roman" w:cs="Times New Roman"/>
        </w:rPr>
        <w:lastRenderedPageBreak/>
        <w:t xml:space="preserve">gains remain uneven and sometimes fragile. In </w:t>
      </w:r>
      <w:proofErr w:type="gramStart"/>
      <w:r w:rsidRPr="00F3680E">
        <w:rPr>
          <w:rFonts w:ascii="Times New Roman" w:hAnsi="Times New Roman" w:cs="Times New Roman"/>
        </w:rPr>
        <w:t>a number of</w:t>
      </w:r>
      <w:proofErr w:type="gramEnd"/>
      <w:r w:rsidRPr="00F3680E">
        <w:rPr>
          <w:rFonts w:ascii="Times New Roman" w:hAnsi="Times New Roman" w:cs="Times New Roman"/>
        </w:rPr>
        <w:t xml:space="preserve"> cases, countries improved methodology without fully stabilizing the underlying production system. In other cases, technical progress outpaced legal reform, administrative data integration, or financing arrangements. This means that the transition to BPM7 and the 2025 SNA cannot simply assume that earlier foundations are secure. A realistic strategy must begin by recognizing what has been achieved, what remains incomplete, and what institutional conditions are necessary for reform to endure. </w:t>
      </w:r>
    </w:p>
    <w:p w14:paraId="380281F5"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was therefore important not only because it introduced a new set of standards, but because it encouraged African countries and partner institutions to shift from a narrow implementation mindset to a systems perspective. Participants repeatedly stressed that progress depends on stronger coordination between agencies, improved data infrastructures, more reliable source systems, and practical, country-led reform roadmaps. In that sense, the workshop’s significance lies as much in its framing of the problem as in its technical content. It positioned the transition as a long-term institutional reform agenda rather than a series of isolated methodological tasks. </w:t>
      </w:r>
    </w:p>
    <w:p w14:paraId="2B578CCD" w14:textId="77777777" w:rsidR="00F3680E" w:rsidRPr="00AD393E" w:rsidRDefault="00F3680E" w:rsidP="00F3680E">
      <w:pPr>
        <w:jc w:val="both"/>
        <w:rPr>
          <w:rFonts w:ascii="Times New Roman" w:hAnsi="Times New Roman" w:cs="Times New Roman"/>
          <w:b/>
          <w:bCs/>
        </w:rPr>
      </w:pPr>
    </w:p>
    <w:p w14:paraId="5340605B" w14:textId="2BAD1DA8"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2. Status of the 2008 SNA and BPM6 implementation in Africa</w:t>
      </w:r>
    </w:p>
    <w:p w14:paraId="67BD606B" w14:textId="49C5D3C4"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 major part of the workshop was devoted to reviewing progress achieved under the 2008 SNA and BPM6. </w:t>
      </w:r>
      <w:r w:rsidRPr="00AD393E">
        <w:rPr>
          <w:rFonts w:ascii="Times New Roman" w:hAnsi="Times New Roman" w:cs="Times New Roman"/>
        </w:rPr>
        <w:t>A</w:t>
      </w:r>
      <w:r w:rsidRPr="00F3680E">
        <w:rPr>
          <w:rFonts w:ascii="Times New Roman" w:hAnsi="Times New Roman" w:cs="Times New Roman"/>
        </w:rPr>
        <w:t xml:space="preserve">pproximately forty African countries now compile and disseminate national accounts broadly aligned with the 2008 SNA, with many major transitions occurring between 2013 and 2018. This is a significant continental achievement. It reflects years of effort by national institutions, regional bodies, and development partners to modernize classifications, update benchmark data, expand sector coverage, improve compilation methods, and increase comparability of macroeconomic aggregates. </w:t>
      </w:r>
    </w:p>
    <w:p w14:paraId="6728CF25" w14:textId="0173B9DC" w:rsidR="00F3680E" w:rsidRPr="00F3680E" w:rsidRDefault="00857DDE" w:rsidP="00F3680E">
      <w:pPr>
        <w:jc w:val="both"/>
        <w:rPr>
          <w:rFonts w:ascii="Times New Roman" w:hAnsi="Times New Roman" w:cs="Times New Roman"/>
        </w:rPr>
      </w:pPr>
      <w:r w:rsidRPr="00AD393E">
        <w:rPr>
          <w:rFonts w:ascii="Times New Roman" w:hAnsi="Times New Roman" w:cs="Times New Roman"/>
        </w:rPr>
        <w:t>S</w:t>
      </w:r>
      <w:r w:rsidR="00F3680E" w:rsidRPr="00F3680E">
        <w:rPr>
          <w:rFonts w:ascii="Times New Roman" w:hAnsi="Times New Roman" w:cs="Times New Roman"/>
        </w:rPr>
        <w:t xml:space="preserve">everal countries introduced key conceptual changes and broadened the scope of their accounts. In some cases, rebasing exercises produced more realistic measures of economic structure and growth. In others, work on sector accounts and classifications helped strengthen internal consistency across macroeconomic datasets. These reforms were important not only technically, but politically, because they increased the credibility and policy relevance of national statistics. Better-aligned macroeconomic data improve fiscal planning, </w:t>
      </w:r>
      <w:r w:rsidR="00F3680E" w:rsidRPr="00AD393E">
        <w:rPr>
          <w:rFonts w:ascii="Times New Roman" w:hAnsi="Times New Roman" w:cs="Times New Roman"/>
        </w:rPr>
        <w:t xml:space="preserve">external-sector analysis, investment assessment, and the </w:t>
      </w:r>
      <w:r w:rsidR="00F3680E" w:rsidRPr="00F3680E">
        <w:rPr>
          <w:rFonts w:ascii="Times New Roman" w:hAnsi="Times New Roman" w:cs="Times New Roman"/>
        </w:rPr>
        <w:t xml:space="preserve">monitoring of development strategies. </w:t>
      </w:r>
    </w:p>
    <w:p w14:paraId="239FBC53" w14:textId="4559E091"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However, progress remains uneven. Some countries still compile only partial accounts or continue to rely on older frameworks. Reporting to the United Nations National Accounts Questionnaire remains irregular in some cases. This unevenness is not </w:t>
      </w:r>
      <w:r w:rsidRPr="00AD393E">
        <w:rPr>
          <w:rFonts w:ascii="Times New Roman" w:hAnsi="Times New Roman" w:cs="Times New Roman"/>
        </w:rPr>
        <w:t xml:space="preserve">simply a </w:t>
      </w:r>
      <w:r w:rsidRPr="00F3680E">
        <w:rPr>
          <w:rFonts w:ascii="Times New Roman" w:hAnsi="Times New Roman" w:cs="Times New Roman"/>
        </w:rPr>
        <w:t xml:space="preserve">matter of effort or willingness. Rather, participants linked it to structural disparities in institutional capacity, </w:t>
      </w:r>
      <w:r w:rsidRPr="00AD393E">
        <w:rPr>
          <w:rFonts w:ascii="Times New Roman" w:hAnsi="Times New Roman" w:cs="Times New Roman"/>
        </w:rPr>
        <w:t>availability of source data</w:t>
      </w:r>
      <w:r w:rsidRPr="00F3680E">
        <w:rPr>
          <w:rFonts w:ascii="Times New Roman" w:hAnsi="Times New Roman" w:cs="Times New Roman"/>
        </w:rPr>
        <w:t xml:space="preserve">, staffing levels, information systems, and financial resources. Countries differ in the maturity of their survey programs, the strength of their business registers, the integration of administrative data, and the degree of collaboration among statistical institutions. As a result, the continent enters the next transition cycle from very different starting points. </w:t>
      </w:r>
    </w:p>
    <w:p w14:paraId="4208759F" w14:textId="087B40D2"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This reality has two implications. First, the apparent headline progress should not conceal the fragility or incompleteness of implementation in some settings. A country may have formally adopted aspects of the </w:t>
      </w:r>
      <w:r w:rsidRPr="00F3680E">
        <w:rPr>
          <w:rFonts w:ascii="Times New Roman" w:hAnsi="Times New Roman" w:cs="Times New Roman"/>
        </w:rPr>
        <w:lastRenderedPageBreak/>
        <w:t xml:space="preserve">2008 SNA while still lacking a regular survey calendar, a functioning </w:t>
      </w:r>
      <w:r w:rsidRPr="00AD393E">
        <w:rPr>
          <w:rFonts w:ascii="Times New Roman" w:hAnsi="Times New Roman" w:cs="Times New Roman"/>
        </w:rPr>
        <w:t>supply-and-use</w:t>
      </w:r>
      <w:r w:rsidRPr="00F3680E">
        <w:rPr>
          <w:rFonts w:ascii="Times New Roman" w:hAnsi="Times New Roman" w:cs="Times New Roman"/>
        </w:rPr>
        <w:t xml:space="preserve"> balancing process, or stable inter-agency data-sharing mechanisms. Second, regional strategies for BPM7 and the 2025 SNA must be flexible enough to reflect these differences. A uniform implementation template would ignore the diversity of national conditions and risk</w:t>
      </w:r>
      <w:r w:rsidRPr="00AD393E">
        <w:rPr>
          <w:rFonts w:ascii="Times New Roman" w:hAnsi="Times New Roman" w:cs="Times New Roman"/>
        </w:rPr>
        <w:t>,</w:t>
      </w:r>
      <w:r w:rsidRPr="00F3680E">
        <w:rPr>
          <w:rFonts w:ascii="Times New Roman" w:hAnsi="Times New Roman" w:cs="Times New Roman"/>
        </w:rPr>
        <w:t xml:space="preserve"> setting unrealistic expectations. The workshop</w:t>
      </w:r>
      <w:r w:rsidRPr="00AD393E">
        <w:rPr>
          <w:rFonts w:ascii="Times New Roman" w:hAnsi="Times New Roman" w:cs="Times New Roman"/>
        </w:rPr>
        <w:t>, therefore, used the experience of the previous cycle not to produce a single scorecard</w:t>
      </w:r>
      <w:r w:rsidRPr="00F3680E">
        <w:rPr>
          <w:rFonts w:ascii="Times New Roman" w:hAnsi="Times New Roman" w:cs="Times New Roman"/>
        </w:rPr>
        <w:t xml:space="preserve"> but to underline the need for differentiated, sequenced, and country-specific approaches. </w:t>
      </w:r>
    </w:p>
    <w:p w14:paraId="59953AD0" w14:textId="6E134197" w:rsidR="00F3680E" w:rsidRPr="00F3680E" w:rsidRDefault="00F3680E" w:rsidP="00F3680E">
      <w:pPr>
        <w:jc w:val="both"/>
        <w:rPr>
          <w:rFonts w:ascii="Times New Roman" w:hAnsi="Times New Roman" w:cs="Times New Roman"/>
        </w:rPr>
      </w:pPr>
      <w:r w:rsidRPr="00F3680E">
        <w:rPr>
          <w:rFonts w:ascii="Times New Roman" w:hAnsi="Times New Roman" w:cs="Times New Roman"/>
        </w:rPr>
        <w:t>The review of implementation status also highlighted a deeper issue: standards adoption is not the same as systems transformation. Many countries have made genuine methodological progress, but long-term success requires embedding that progress in durable institutions, procedures, and data flows. This is one of the most important lessons for the next phase. The transition to BPM7 and the 2025 SNA must be designed not merely to update manuals</w:t>
      </w:r>
      <w:r w:rsidRPr="00AD393E">
        <w:rPr>
          <w:rFonts w:ascii="Times New Roman" w:hAnsi="Times New Roman" w:cs="Times New Roman"/>
        </w:rPr>
        <w:t xml:space="preserve"> but to strengthen the systems that make high-quality macroeconomic statistics possible continuously</w:t>
      </w:r>
      <w:r w:rsidRPr="00F3680E">
        <w:rPr>
          <w:rFonts w:ascii="Times New Roman" w:hAnsi="Times New Roman" w:cs="Times New Roman"/>
        </w:rPr>
        <w:t xml:space="preserve">. </w:t>
      </w:r>
    </w:p>
    <w:p w14:paraId="4CFE2689" w14:textId="77777777"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3. Country experiences and lessons learned</w:t>
      </w:r>
    </w:p>
    <w:p w14:paraId="4D1941F7" w14:textId="78B23758"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placed considerable emphasis on country experiences, because the most valuable lessons for the next transition often come from the actual practice of reform. </w:t>
      </w:r>
      <w:r w:rsidRPr="00AD393E">
        <w:rPr>
          <w:rFonts w:ascii="Times New Roman" w:hAnsi="Times New Roman" w:cs="Times New Roman"/>
        </w:rPr>
        <w:t>S</w:t>
      </w:r>
      <w:r w:rsidRPr="00F3680E">
        <w:rPr>
          <w:rFonts w:ascii="Times New Roman" w:hAnsi="Times New Roman" w:cs="Times New Roman"/>
        </w:rPr>
        <w:t xml:space="preserve">everal recurring success factors are highlighted. Countries advanced more effectively when they benefited from strong national leadership, clear institutional mandates, phased implementation strategies, close collaboration between national statistical offices and central banks, and active support from regional and international partners. Peer learning was singled out as a particularly valuable mechanism, especially for complex tasks such as GDP rebasing, supply and use tables, and improvements in compilation practices. </w:t>
      </w:r>
    </w:p>
    <w:p w14:paraId="11887193"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This point deserves emphasis. Too often, macroeconomic statistical reform is discussed in abstract methodological terms. Yet countries do not implement standards in the abstract. They implement them through real teams, real software, real source data, real institutional negotiations, and real production deadlines. The Togo example suggests that implementation becomes more durable when it is tied to visible outputs and concrete responsibilities rather than left at the level of generalized recommendations. For the transition to BPM7 and the 2025 SNA, this means support should increasingly be designed around integrated implementation packages rather than isolated technical missions. </w:t>
      </w:r>
    </w:p>
    <w:p w14:paraId="3A79CB53" w14:textId="787B8AAF"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also underscored that reforms are more sustainable when they are embedded in national planning and production processes. Countries that developed transition plans, linked methodological work to tangible outputs, and maintained continuity in their technical teams were generally better positioned to sustain progress. This is an important lesson because statistical reform often falters not during moments of technical activity, but in the </w:t>
      </w:r>
      <w:proofErr w:type="gramStart"/>
      <w:r w:rsidRPr="00F3680E">
        <w:rPr>
          <w:rFonts w:ascii="Times New Roman" w:hAnsi="Times New Roman" w:cs="Times New Roman"/>
        </w:rPr>
        <w:t>spaces</w:t>
      </w:r>
      <w:proofErr w:type="gramEnd"/>
      <w:r w:rsidRPr="00F3680E">
        <w:rPr>
          <w:rFonts w:ascii="Times New Roman" w:hAnsi="Times New Roman" w:cs="Times New Roman"/>
        </w:rPr>
        <w:t xml:space="preserve"> between them. Without a roadmap, documented procedures, stable teams, and production follow-through, gains can dissipate. The workshop</w:t>
      </w:r>
      <w:r w:rsidRPr="00AD393E">
        <w:rPr>
          <w:rFonts w:ascii="Times New Roman" w:hAnsi="Times New Roman" w:cs="Times New Roman"/>
        </w:rPr>
        <w:t>, therefore,</w:t>
      </w:r>
      <w:r w:rsidRPr="00F3680E">
        <w:rPr>
          <w:rFonts w:ascii="Times New Roman" w:hAnsi="Times New Roman" w:cs="Times New Roman"/>
        </w:rPr>
        <w:t xml:space="preserve"> emphasized not just technical competence, but institutional continuity and planning discipline. </w:t>
      </w:r>
    </w:p>
    <w:p w14:paraId="6D7A0E75" w14:textId="0ED02E00"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At the same time, participants did not romanticize </w:t>
      </w:r>
      <w:proofErr w:type="gramStart"/>
      <w:r w:rsidRPr="00F3680E">
        <w:rPr>
          <w:rFonts w:ascii="Times New Roman" w:hAnsi="Times New Roman" w:cs="Times New Roman"/>
        </w:rPr>
        <w:t>past experience</w:t>
      </w:r>
      <w:proofErr w:type="gramEnd"/>
      <w:r w:rsidRPr="00F3680E">
        <w:rPr>
          <w:rFonts w:ascii="Times New Roman" w:hAnsi="Times New Roman" w:cs="Times New Roman"/>
        </w:rPr>
        <w:t>. They noted recurring challenges</w:t>
      </w:r>
      <w:r w:rsidRPr="00AD393E">
        <w:rPr>
          <w:rFonts w:ascii="Times New Roman" w:hAnsi="Times New Roman" w:cs="Times New Roman"/>
        </w:rPr>
        <w:t>,</w:t>
      </w:r>
      <w:r w:rsidRPr="00F3680E">
        <w:rPr>
          <w:rFonts w:ascii="Times New Roman" w:hAnsi="Times New Roman" w:cs="Times New Roman"/>
        </w:rPr>
        <w:t xml:space="preserve"> including limited human and financial resources, outdated infrastructures, weak administrative data systems, and insufficient coordination across national statistical systems. External shocks, including the </w:t>
      </w:r>
      <w:r w:rsidRPr="00F3680E">
        <w:rPr>
          <w:rFonts w:ascii="Times New Roman" w:hAnsi="Times New Roman" w:cs="Times New Roman"/>
        </w:rPr>
        <w:lastRenderedPageBreak/>
        <w:t xml:space="preserve">COVID-19 pandemic, further delayed surveys, missions, and implementation schedules. These experiences suggest that reform strategies must be resilient enough to withstand interruptions and constraints. They also show why one-off interventions are rarely enough. Sustainable change requires follow-up support, team strengthening, documentation, and mechanisms to preserve institutional memory. </w:t>
      </w:r>
    </w:p>
    <w:p w14:paraId="7E89A080" w14:textId="7C885E14"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Participants noted that the lessons </w:t>
      </w:r>
      <w:r w:rsidRPr="00AD393E">
        <w:rPr>
          <w:rFonts w:ascii="Times New Roman" w:hAnsi="Times New Roman" w:cs="Times New Roman"/>
        </w:rPr>
        <w:t>from earlier national accounts-strengthening</w:t>
      </w:r>
      <w:r w:rsidRPr="00F3680E">
        <w:rPr>
          <w:rFonts w:ascii="Times New Roman" w:hAnsi="Times New Roman" w:cs="Times New Roman"/>
        </w:rPr>
        <w:t xml:space="preserve"> efforts should be captured and disseminated more effectively across countries. This is not merely a communication issue. It is a strategic capacity-building issue. Every time a country learns how to manage rebasing, resolve source-data problems, align classifications, or organize inter-agency coordination, that knowledge has continental value. A stronger regional learning architecture could reduce duplication, improve the design of technical assistance, and accelerate readiness for the next standards cycle. </w:t>
      </w:r>
    </w:p>
    <w:p w14:paraId="00DF5467" w14:textId="77777777"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4. Key challenges carried into the next transition</w:t>
      </w:r>
    </w:p>
    <w:p w14:paraId="12B59750" w14:textId="74B99B5D"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w:t>
      </w:r>
      <w:r w:rsidRPr="00AD393E">
        <w:rPr>
          <w:rFonts w:ascii="Times New Roman" w:hAnsi="Times New Roman" w:cs="Times New Roman"/>
        </w:rPr>
        <w:t>identified</w:t>
      </w:r>
      <w:r w:rsidRPr="00F3680E">
        <w:rPr>
          <w:rFonts w:ascii="Times New Roman" w:hAnsi="Times New Roman" w:cs="Times New Roman"/>
        </w:rPr>
        <w:t xml:space="preserve"> a set of persistent constraints that complicated the implementation of the 2008 SNA and BPM6 and that now threaten to slow the transition to BPM7 and the 2025 SNA if left unresolved. The first cluster of challenges concerns human capacity. Participants repeatedly cited staff shortages, high turnover, and limited pools of specialized expertise. These problems weaken continuity, reduce the return on training investments, and make it difficult for institutions to sustain technically demanding work </w:t>
      </w:r>
      <w:proofErr w:type="gramStart"/>
      <w:r w:rsidRPr="00AD393E">
        <w:rPr>
          <w:rFonts w:ascii="Times New Roman" w:hAnsi="Times New Roman" w:cs="Times New Roman"/>
        </w:rPr>
        <w:t>over time</w:t>
      </w:r>
      <w:proofErr w:type="gramEnd"/>
      <w:r w:rsidRPr="00F3680E">
        <w:rPr>
          <w:rFonts w:ascii="Times New Roman" w:hAnsi="Times New Roman" w:cs="Times New Roman"/>
        </w:rPr>
        <w:t xml:space="preserve">. When trained staff leave, institutional memory often </w:t>
      </w:r>
      <w:r w:rsidRPr="00AD393E">
        <w:rPr>
          <w:rFonts w:ascii="Times New Roman" w:hAnsi="Times New Roman" w:cs="Times New Roman"/>
        </w:rPr>
        <w:t>follows</w:t>
      </w:r>
      <w:r w:rsidRPr="00F3680E">
        <w:rPr>
          <w:rFonts w:ascii="Times New Roman" w:hAnsi="Times New Roman" w:cs="Times New Roman"/>
        </w:rPr>
        <w:t xml:space="preserve">. </w:t>
      </w:r>
    </w:p>
    <w:p w14:paraId="5B7A8BC3"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 second cluster concerns financing. Survey programs, rebasing exercises, classification updates, IT tools, technical missions, and training all require predictable resources. Yet financing for macroeconomic statistical reform is often limited, fragmented, or unpredictable. This leads to stop-and-start implementation patterns. Work progresses during funded project periods and then slows when external support ends or domestic resources are redirected. Participants were clear that this financing fragility affects both quality and sustainability. It is not enough to fund isolated milestones; countries need financing structures that support continuous production and gradual system strengthening. </w:t>
      </w:r>
    </w:p>
    <w:p w14:paraId="0750A9EC"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 third cluster concerns the broader data ecosystem. In many countries, administrative data systems remain fragmented, survey programs irregular, business registers weak, and production processes highly manual. These conditions make it difficult to compile complete and consistent national accounts and external sector statistics. Where customs, tax, enterprise, financial, and administrative records are incomplete or poorly integrated, compilers face persistent source-data gaps. Where manual processing dominates, revisions become slower, documentation weaker, and quality control more difficult. In this sense, the implementation challenge is not just one of statistical methodology; it is a challenge of data infrastructure. </w:t>
      </w:r>
    </w:p>
    <w:p w14:paraId="3C937815" w14:textId="5CA32C31" w:rsidR="00F3680E" w:rsidRPr="00F3680E" w:rsidRDefault="00F3680E" w:rsidP="00F3680E">
      <w:pPr>
        <w:jc w:val="both"/>
        <w:rPr>
          <w:rFonts w:ascii="Times New Roman" w:hAnsi="Times New Roman" w:cs="Times New Roman"/>
        </w:rPr>
      </w:pPr>
      <w:r w:rsidRPr="00F3680E">
        <w:rPr>
          <w:rFonts w:ascii="Times New Roman" w:hAnsi="Times New Roman" w:cs="Times New Roman"/>
        </w:rPr>
        <w:t>The workshop also highlighted institutional coordination as a major difficulty. Macro-economic statistics sit at the intersection of multiple institutions: national statistical offices, central banks, ministries of finance, tax agencies, customs authorities, and sector ministries. When legal mandates are unclear or data-sharing arrangements are weak, essential information does not flow efficiently. This slows compilation, limits coverage, and can produce inconsistencies across datasets. Participants</w:t>
      </w:r>
      <w:r w:rsidRPr="00AD393E">
        <w:rPr>
          <w:rFonts w:ascii="Times New Roman" w:hAnsi="Times New Roman" w:cs="Times New Roman"/>
        </w:rPr>
        <w:t>, therefore,</w:t>
      </w:r>
      <w:r w:rsidRPr="00F3680E">
        <w:rPr>
          <w:rFonts w:ascii="Times New Roman" w:hAnsi="Times New Roman" w:cs="Times New Roman"/>
        </w:rPr>
        <w:t xml:space="preserve"> framed inter-agency </w:t>
      </w:r>
      <w:r w:rsidRPr="00F3680E">
        <w:rPr>
          <w:rFonts w:ascii="Times New Roman" w:hAnsi="Times New Roman" w:cs="Times New Roman"/>
        </w:rPr>
        <w:lastRenderedPageBreak/>
        <w:t xml:space="preserve">coordination not as a secondary governance issue, but as a technical prerequisite for successful implementation. </w:t>
      </w:r>
    </w:p>
    <w:p w14:paraId="0072A40F" w14:textId="1DFD01D4"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Even </w:t>
      </w:r>
      <w:r w:rsidRPr="00AD393E">
        <w:rPr>
          <w:rFonts w:ascii="Times New Roman" w:hAnsi="Times New Roman" w:cs="Times New Roman"/>
        </w:rPr>
        <w:t>when technical activities are well-designed</w:t>
      </w:r>
      <w:r w:rsidRPr="00F3680E">
        <w:rPr>
          <w:rFonts w:ascii="Times New Roman" w:hAnsi="Times New Roman" w:cs="Times New Roman"/>
        </w:rPr>
        <w:t xml:space="preserve">, progress becomes difficult to monitor </w:t>
      </w:r>
      <w:r w:rsidRPr="00AD393E">
        <w:rPr>
          <w:rFonts w:ascii="Times New Roman" w:hAnsi="Times New Roman" w:cs="Times New Roman"/>
        </w:rPr>
        <w:t>if indicators lack baselines, numeric targets, verification sources, or clear links to</w:t>
      </w:r>
      <w:r w:rsidRPr="00F3680E">
        <w:rPr>
          <w:rFonts w:ascii="Times New Roman" w:hAnsi="Times New Roman" w:cs="Times New Roman"/>
        </w:rPr>
        <w:t xml:space="preserve"> higher-level results. This is a subtle but critical point. Without </w:t>
      </w:r>
      <w:proofErr w:type="gramStart"/>
      <w:r w:rsidRPr="00AD393E">
        <w:rPr>
          <w:rFonts w:ascii="Times New Roman" w:hAnsi="Times New Roman" w:cs="Times New Roman"/>
        </w:rPr>
        <w:t xml:space="preserve">a </w:t>
      </w:r>
      <w:r w:rsidRPr="00F3680E">
        <w:rPr>
          <w:rFonts w:ascii="Times New Roman" w:hAnsi="Times New Roman" w:cs="Times New Roman"/>
        </w:rPr>
        <w:t>credible</w:t>
      </w:r>
      <w:proofErr w:type="gramEnd"/>
      <w:r w:rsidRPr="00F3680E">
        <w:rPr>
          <w:rFonts w:ascii="Times New Roman" w:hAnsi="Times New Roman" w:cs="Times New Roman"/>
        </w:rPr>
        <w:t xml:space="preserve"> monitoring architecture, it is harder to identify delays early, align support, justify financing, and hold institutions accountable. As Africa moves into the BPM7 / 2025 SNA transition, stronger planning and monitoring systems will be essential. </w:t>
      </w:r>
    </w:p>
    <w:p w14:paraId="490C928A"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Taken together, these challenges show that the next transition cannot succeed through methodological dissemination alone. It must address the organizational conditions of statistical production: staffing, retention, financing, legal frameworks, source systems, coordination, IT capacity, and monitoring. The workshop’s message is therefore demanding but realistic. Countries do not need to solve everything at once, but they do need a strategy that recognizes the whole problem. </w:t>
      </w:r>
    </w:p>
    <w:p w14:paraId="11E43252" w14:textId="77777777" w:rsidR="00F3680E" w:rsidRPr="00AD393E" w:rsidRDefault="00F3680E" w:rsidP="00F3680E">
      <w:pPr>
        <w:jc w:val="both"/>
        <w:rPr>
          <w:rFonts w:ascii="Times New Roman" w:hAnsi="Times New Roman" w:cs="Times New Roman"/>
          <w:b/>
          <w:bCs/>
        </w:rPr>
      </w:pPr>
    </w:p>
    <w:p w14:paraId="025E8FBB" w14:textId="30FDC10F"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5. Implications of BPM7 and the 2025 SNA</w:t>
      </w:r>
    </w:p>
    <w:p w14:paraId="00BC9E7A" w14:textId="0AEC9322" w:rsidR="00F3680E" w:rsidRPr="00F3680E" w:rsidRDefault="00F3680E" w:rsidP="00F3680E">
      <w:pPr>
        <w:jc w:val="both"/>
        <w:rPr>
          <w:rFonts w:ascii="Times New Roman" w:hAnsi="Times New Roman" w:cs="Times New Roman"/>
        </w:rPr>
      </w:pPr>
      <w:r w:rsidRPr="00F3680E">
        <w:rPr>
          <w:rFonts w:ascii="Times New Roman" w:hAnsi="Times New Roman" w:cs="Times New Roman"/>
        </w:rPr>
        <w:t>Participants agreed that BPM7 and the 2025 SNA represent a significant expansion in the analytical and operational demands placed on African statistical systems. The</w:t>
      </w:r>
      <w:r w:rsidR="00857DDE" w:rsidRPr="00AD393E">
        <w:rPr>
          <w:rFonts w:ascii="Times New Roman" w:hAnsi="Times New Roman" w:cs="Times New Roman"/>
        </w:rPr>
        <w:t xml:space="preserve">re are </w:t>
      </w:r>
      <w:r w:rsidRPr="00F3680E">
        <w:rPr>
          <w:rFonts w:ascii="Times New Roman" w:hAnsi="Times New Roman" w:cs="Times New Roman"/>
        </w:rPr>
        <w:t xml:space="preserve">improved measurement needs relating to digitalization, global value chains, financial assets and liabilities, and sustainability-related dimensions of economic activity. These are not minor technical amendments. They imply new data requirements, new forms of institutional collaboration, stronger classifications, and greater coherence across datasets. </w:t>
      </w:r>
    </w:p>
    <w:p w14:paraId="5F1861DF" w14:textId="62F4B305"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In practical terms, this means countries will need more than conceptual familiarity with the new recommendations. They will need the ability to operationalize those recommendations through stronger business registers, improved survey programs, better </w:t>
      </w:r>
      <w:r w:rsidRPr="00AD393E">
        <w:rPr>
          <w:rFonts w:ascii="Times New Roman" w:hAnsi="Times New Roman" w:cs="Times New Roman"/>
        </w:rPr>
        <w:t>use of administrative data, closer NSO-central bank coordination, and compilation systems capable of supporting balanced supply-and-use frameworks, external-sector</w:t>
      </w:r>
      <w:r w:rsidRPr="00F3680E">
        <w:rPr>
          <w:rFonts w:ascii="Times New Roman" w:hAnsi="Times New Roman" w:cs="Times New Roman"/>
        </w:rPr>
        <w:t xml:space="preserve"> statistics, and coherent time-series revisions. </w:t>
      </w:r>
    </w:p>
    <w:p w14:paraId="456F97A6" w14:textId="3E25B85E" w:rsidR="00F3680E" w:rsidRPr="00F3680E" w:rsidRDefault="00F3680E" w:rsidP="00F3680E">
      <w:pPr>
        <w:jc w:val="both"/>
        <w:rPr>
          <w:rFonts w:ascii="Times New Roman" w:hAnsi="Times New Roman" w:cs="Times New Roman"/>
        </w:rPr>
      </w:pPr>
      <w:r w:rsidRPr="00F3680E">
        <w:rPr>
          <w:rFonts w:ascii="Times New Roman" w:hAnsi="Times New Roman" w:cs="Times New Roman"/>
        </w:rPr>
        <w:t>The workshop</w:t>
      </w:r>
      <w:r w:rsidRPr="00AD393E">
        <w:rPr>
          <w:rFonts w:ascii="Times New Roman" w:hAnsi="Times New Roman" w:cs="Times New Roman"/>
        </w:rPr>
        <w:t>, therefore,</w:t>
      </w:r>
      <w:r w:rsidRPr="00F3680E">
        <w:rPr>
          <w:rFonts w:ascii="Times New Roman" w:hAnsi="Times New Roman" w:cs="Times New Roman"/>
        </w:rPr>
        <w:t xml:space="preserve"> framed BPM7 and the 2025 SNA as an opportunity to integrate macroeconomic datasets more effectively. Stronger integration </w:t>
      </w:r>
      <w:r w:rsidRPr="00AD393E">
        <w:rPr>
          <w:rFonts w:ascii="Times New Roman" w:hAnsi="Times New Roman" w:cs="Times New Roman"/>
        </w:rPr>
        <w:t>among national accounts, external sector statistics, sector accounts, and source data</w:t>
      </w:r>
      <w:r w:rsidRPr="00F3680E">
        <w:rPr>
          <w:rFonts w:ascii="Times New Roman" w:hAnsi="Times New Roman" w:cs="Times New Roman"/>
        </w:rPr>
        <w:t xml:space="preserve"> systems can improve consistency and analytical value. But achieving that integration will </w:t>
      </w:r>
      <w:r w:rsidRPr="00AD393E">
        <w:rPr>
          <w:rFonts w:ascii="Times New Roman" w:hAnsi="Times New Roman" w:cs="Times New Roman"/>
        </w:rPr>
        <w:t>require reforms in governance and</w:t>
      </w:r>
      <w:r w:rsidRPr="00F3680E">
        <w:rPr>
          <w:rFonts w:ascii="Times New Roman" w:hAnsi="Times New Roman" w:cs="Times New Roman"/>
        </w:rPr>
        <w:t xml:space="preserve"> methodology. Countries will need cooperation among NSOs, central banks, finance ministries, customs, tax authorities, and sector ministries. They will also need systems that allow revisions, metadata, documentation, and quality management to function more systematically. </w:t>
      </w:r>
    </w:p>
    <w:p w14:paraId="65199AC3" w14:textId="61411731"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Participants were also clear that unresolved gaps from earlier standards must be addressed before countries can transition effectively. This point is crucial. The new standards should not be treated as a substitute for unfinished foundational work. Where countries still lack reliable source data, functioning legal frameworks, strong coordination arrangements, or routine reporting systems, those weaknesses will </w:t>
      </w:r>
      <w:r w:rsidRPr="00F3680E">
        <w:rPr>
          <w:rFonts w:ascii="Times New Roman" w:hAnsi="Times New Roman" w:cs="Times New Roman"/>
        </w:rPr>
        <w:lastRenderedPageBreak/>
        <w:t>obstruct the implementation of BPM7 and the 2025 SNA. The new standards</w:t>
      </w:r>
      <w:r w:rsidRPr="00AD393E">
        <w:rPr>
          <w:rFonts w:ascii="Times New Roman" w:hAnsi="Times New Roman" w:cs="Times New Roman"/>
        </w:rPr>
        <w:t>, therefore,</w:t>
      </w:r>
      <w:r w:rsidRPr="00F3680E">
        <w:rPr>
          <w:rFonts w:ascii="Times New Roman" w:hAnsi="Times New Roman" w:cs="Times New Roman"/>
        </w:rPr>
        <w:t xml:space="preserve"> increase the urgency of addressing old problems. </w:t>
      </w:r>
    </w:p>
    <w:p w14:paraId="2253146A" w14:textId="12B74812"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implication is that the transition should be understood as a layered process. Some tasks will involve direct adoption of new recommendations. Others will involve completing unfinished work from previous cycles. Still others will involve </w:t>
      </w:r>
      <w:r w:rsidR="006A6505">
        <w:rPr>
          <w:rFonts w:ascii="Times New Roman" w:hAnsi="Times New Roman" w:cs="Times New Roman"/>
        </w:rPr>
        <w:t>modernizing</w:t>
      </w:r>
      <w:r w:rsidRPr="00F3680E">
        <w:rPr>
          <w:rFonts w:ascii="Times New Roman" w:hAnsi="Times New Roman" w:cs="Times New Roman"/>
        </w:rPr>
        <w:t xml:space="preserve"> production systems that were never fully consolidated. This complexity reinforces the need for sequenced roadmaps and clear prioritization. Countries need a way to distinguish immediate actions, medium-term investments, and longer-term structural reforms. </w:t>
      </w:r>
    </w:p>
    <w:p w14:paraId="2ED07C29" w14:textId="77777777" w:rsidR="00F3680E" w:rsidRPr="00AD393E" w:rsidRDefault="00F3680E" w:rsidP="00F3680E">
      <w:pPr>
        <w:jc w:val="both"/>
        <w:rPr>
          <w:rFonts w:ascii="Times New Roman" w:hAnsi="Times New Roman" w:cs="Times New Roman"/>
          <w:b/>
          <w:bCs/>
        </w:rPr>
      </w:pPr>
    </w:p>
    <w:p w14:paraId="6842FDB9" w14:textId="050513AD"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6. Readiness, roadmaps, and country-led sequencing</w:t>
      </w:r>
    </w:p>
    <w:p w14:paraId="6D0C8C87" w14:textId="6834B6A5"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A major contribution </w:t>
      </w:r>
      <w:proofErr w:type="gramStart"/>
      <w:r w:rsidRPr="00F3680E">
        <w:rPr>
          <w:rFonts w:ascii="Times New Roman" w:hAnsi="Times New Roman" w:cs="Times New Roman"/>
        </w:rPr>
        <w:t>of</w:t>
      </w:r>
      <w:proofErr w:type="gramEnd"/>
      <w:r w:rsidRPr="00F3680E">
        <w:rPr>
          <w:rFonts w:ascii="Times New Roman" w:hAnsi="Times New Roman" w:cs="Times New Roman"/>
        </w:rPr>
        <w:t xml:space="preserve"> the </w:t>
      </w:r>
      <w:r w:rsidR="006A6505">
        <w:rPr>
          <w:rFonts w:ascii="Times New Roman" w:hAnsi="Times New Roman" w:cs="Times New Roman"/>
        </w:rPr>
        <w:t xml:space="preserve">workshop </w:t>
      </w:r>
      <w:r w:rsidRPr="00F3680E">
        <w:rPr>
          <w:rFonts w:ascii="Times New Roman" w:hAnsi="Times New Roman" w:cs="Times New Roman"/>
        </w:rPr>
        <w:t xml:space="preserve">is its emphasis on readiness assessment. Participants stressed that countries will not all move at the same pace and should not be expected to. Different institutional histories, legal frameworks, staffing </w:t>
      </w:r>
      <w:r w:rsidRPr="00AD393E">
        <w:rPr>
          <w:rFonts w:ascii="Times New Roman" w:hAnsi="Times New Roman" w:cs="Times New Roman"/>
        </w:rPr>
        <w:t>levels, source data</w:t>
      </w:r>
      <w:r w:rsidRPr="00F3680E">
        <w:rPr>
          <w:rFonts w:ascii="Times New Roman" w:hAnsi="Times New Roman" w:cs="Times New Roman"/>
        </w:rPr>
        <w:t xml:space="preserve"> environments, and IT capacities mean that readiness varies widely across the continent. For that reason, the transition should begin with country-specific diagnostics rather than standardized assumptions. These diagnostics should cover institutional arrangements, legal frameworks, source data, staffing, training needs, IT systems, and priority methodological gaps. </w:t>
      </w:r>
    </w:p>
    <w:p w14:paraId="15780D95" w14:textId="3F47D48E"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purpose of readiness assessment is not to delay implementation, but to ground it in reality. A country that lacks reliable business registers, data-sharing agreements, and stable </w:t>
      </w:r>
      <w:r w:rsidRPr="00AD393E">
        <w:rPr>
          <w:rFonts w:ascii="Times New Roman" w:hAnsi="Times New Roman" w:cs="Times New Roman"/>
        </w:rPr>
        <w:t>staff-retention mechanisms cannot be expected to progress</w:t>
      </w:r>
      <w:r w:rsidRPr="00F3680E">
        <w:rPr>
          <w:rFonts w:ascii="Times New Roman" w:hAnsi="Times New Roman" w:cs="Times New Roman"/>
        </w:rPr>
        <w:t xml:space="preserve"> in the same way as a country that already has those foundations. Readiness diagnostics help identify what is feasible in the short term, what requires capacity development, and what depends on broader institutional reform. In this sense, readiness is the bridge between ambition and implementation. </w:t>
      </w:r>
    </w:p>
    <w:p w14:paraId="39ADCE64" w14:textId="6975423A"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Participants recommended that these assessments feed into national transition roadmaps. Such roadmaps should include milestones, responsibilities, phased deliverables, and explicit links to support needs. They should identify quick wins, medium-term reforms, peer-learning opportunities, and priority areas for technical assistance. This is particularly important because countries often receive technical guidance from multiple partners. Without a roadmap, support can become fragmented. With a roadmap, external assistance can be aligned </w:t>
      </w:r>
      <w:r w:rsidRPr="00AD393E">
        <w:rPr>
          <w:rFonts w:ascii="Times New Roman" w:hAnsi="Times New Roman" w:cs="Times New Roman"/>
        </w:rPr>
        <w:t>with</w:t>
      </w:r>
      <w:r w:rsidRPr="00F3680E">
        <w:rPr>
          <w:rFonts w:ascii="Times New Roman" w:hAnsi="Times New Roman" w:cs="Times New Roman"/>
        </w:rPr>
        <w:t xml:space="preserve"> national priorities and sequencing. </w:t>
      </w:r>
    </w:p>
    <w:p w14:paraId="5BD3B42F"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 also highlighted the value of follow-up mechanisms, peer review, and communities of practice. These can help countries track implementation, compare experience, and refine approaches over time. A regional implementation strategy built around peer exchange and documented technical models could reduce duplication and speed up problem-solving. Countries often face similar issues, even if in different institutional settings. Mechanisms that allow them to share practical solutions can multiply the effect of technical assistance and reduce the costs of trial and error. </w:t>
      </w:r>
    </w:p>
    <w:p w14:paraId="76CB4F8C" w14:textId="77777777" w:rsidR="00857DDE" w:rsidRPr="00AD393E" w:rsidRDefault="00857DDE" w:rsidP="00F3680E">
      <w:pPr>
        <w:jc w:val="both"/>
        <w:rPr>
          <w:rFonts w:ascii="Times New Roman" w:hAnsi="Times New Roman" w:cs="Times New Roman"/>
          <w:b/>
          <w:bCs/>
        </w:rPr>
      </w:pPr>
    </w:p>
    <w:p w14:paraId="17A5BBF0" w14:textId="3842D3FC"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7. Capacity development and technical assistance</w:t>
      </w:r>
    </w:p>
    <w:p w14:paraId="4C27B623" w14:textId="30D5390C" w:rsidR="00F3680E" w:rsidRPr="00F3680E" w:rsidRDefault="00F3680E" w:rsidP="00F3680E">
      <w:pPr>
        <w:jc w:val="both"/>
        <w:rPr>
          <w:rFonts w:ascii="Times New Roman" w:hAnsi="Times New Roman" w:cs="Times New Roman"/>
        </w:rPr>
      </w:pPr>
      <w:r w:rsidRPr="00F3680E">
        <w:rPr>
          <w:rFonts w:ascii="Times New Roman" w:hAnsi="Times New Roman" w:cs="Times New Roman"/>
        </w:rPr>
        <w:lastRenderedPageBreak/>
        <w:t xml:space="preserve">Participants stressed that workshops are useful but not sufficient. Countries will also need sustained technical assistance through advisory missions, hands-on support, mentoring, methodological guidance, and training linked directly to real compilation exercises. Capacity development should therefore be conceived as a layered system rather than a one-off event. Regional workshops can build awareness and shared understanding, but country-specific support is needed to translate standards into production practice. </w:t>
      </w:r>
    </w:p>
    <w:p w14:paraId="2A832F4A" w14:textId="67FE028F"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t>
      </w:r>
      <w:r w:rsidR="00857DDE" w:rsidRPr="00AD393E">
        <w:rPr>
          <w:rFonts w:ascii="Times New Roman" w:hAnsi="Times New Roman" w:cs="Times New Roman"/>
        </w:rPr>
        <w:t xml:space="preserve">discussions also </w:t>
      </w:r>
      <w:r w:rsidRPr="00F3680E">
        <w:rPr>
          <w:rFonts w:ascii="Times New Roman" w:hAnsi="Times New Roman" w:cs="Times New Roman"/>
        </w:rPr>
        <w:t>point</w:t>
      </w:r>
      <w:r w:rsidR="00857DDE" w:rsidRPr="00AD393E">
        <w:rPr>
          <w:rFonts w:ascii="Times New Roman" w:hAnsi="Times New Roman" w:cs="Times New Roman"/>
        </w:rPr>
        <w:t>ed</w:t>
      </w:r>
      <w:r w:rsidRPr="00F3680E">
        <w:rPr>
          <w:rFonts w:ascii="Times New Roman" w:hAnsi="Times New Roman" w:cs="Times New Roman"/>
        </w:rPr>
        <w:t xml:space="preserve"> to the importance of reusable technical materials and documented procedures. This matters because staff turnover is a persistent problem. When knowledge remains embedded in individuals rather than institutions, implementation becomes vulnerable. Countries need documented workflows, procedural guidance, training materials, and focal points that help preserve institutional memory. Technical assistance should thus aim not only to solve immediate problems, but to leave behind tools, documentation, and organizational habits that endure. </w:t>
      </w:r>
    </w:p>
    <w:p w14:paraId="05B9E3CE" w14:textId="0D92F047" w:rsidR="00F3680E" w:rsidRPr="00F3680E" w:rsidRDefault="00F3680E" w:rsidP="00F3680E">
      <w:pPr>
        <w:jc w:val="both"/>
        <w:rPr>
          <w:rFonts w:ascii="Times New Roman" w:hAnsi="Times New Roman" w:cs="Times New Roman"/>
        </w:rPr>
      </w:pPr>
      <w:r w:rsidRPr="00F3680E">
        <w:rPr>
          <w:rFonts w:ascii="Times New Roman" w:hAnsi="Times New Roman" w:cs="Times New Roman"/>
        </w:rPr>
        <w:t>Participants also emphasized staff retention. This may seem like a human resources issue rather than a technical one, but for macroeconomic statistics</w:t>
      </w:r>
      <w:r w:rsidRPr="00AD393E">
        <w:rPr>
          <w:rFonts w:ascii="Times New Roman" w:hAnsi="Times New Roman" w:cs="Times New Roman"/>
        </w:rPr>
        <w:t>,</w:t>
      </w:r>
      <w:r w:rsidRPr="00F3680E">
        <w:rPr>
          <w:rFonts w:ascii="Times New Roman" w:hAnsi="Times New Roman" w:cs="Times New Roman"/>
        </w:rPr>
        <w:t xml:space="preserve"> it is both. Training investments lose value when turnover is high. Frequent turnover also interrupts production, weakens quality control, and forces institutions to repeat learning cycles. Capacity development strategies should therefore be linked to broader institutional arrangements that help retain trained staff, share expertise across teams, and formalize knowledge. </w:t>
      </w:r>
    </w:p>
    <w:p w14:paraId="476518F9" w14:textId="3B984C8C" w:rsidR="00F3680E" w:rsidRPr="00F3680E" w:rsidRDefault="00AD393E" w:rsidP="00F3680E">
      <w:pPr>
        <w:jc w:val="both"/>
        <w:rPr>
          <w:rFonts w:ascii="Times New Roman" w:hAnsi="Times New Roman" w:cs="Times New Roman"/>
        </w:rPr>
      </w:pPr>
      <w:r>
        <w:rPr>
          <w:rFonts w:ascii="Times New Roman" w:hAnsi="Times New Roman" w:cs="Times New Roman"/>
        </w:rPr>
        <w:t>F</w:t>
      </w:r>
      <w:r w:rsidR="00F3680E" w:rsidRPr="00F3680E">
        <w:rPr>
          <w:rFonts w:ascii="Times New Roman" w:hAnsi="Times New Roman" w:cs="Times New Roman"/>
        </w:rPr>
        <w:t xml:space="preserve">ollow-up support matters. Reforms are more sustainable when country teams are strengthened through targeted training, peer exchange, and </w:t>
      </w:r>
      <w:r w:rsidR="00F3680E" w:rsidRPr="00AD393E">
        <w:rPr>
          <w:rFonts w:ascii="Times New Roman" w:hAnsi="Times New Roman" w:cs="Times New Roman"/>
        </w:rPr>
        <w:t xml:space="preserve">ongoing support rather than through </w:t>
      </w:r>
      <w:r w:rsidR="00F3680E" w:rsidRPr="00F3680E">
        <w:rPr>
          <w:rFonts w:ascii="Times New Roman" w:hAnsi="Times New Roman" w:cs="Times New Roman"/>
        </w:rPr>
        <w:t xml:space="preserve">isolated interventions. This is a practical lesson with major programming implications. It suggests that the design of technical assistance for BPM7 and the 2025 SNA should include initial diagnostics, hands-on implementation support, peer exchange, milestone review, and follow-up. That model is likely to be more effective than a series of disconnected missions or workshops. </w:t>
      </w:r>
    </w:p>
    <w:p w14:paraId="0C7BD8B5"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Overall, the workshop positions capacity development as one of the pillars of transition readiness. The continent does not need only more training; it needs better-connected capacity systems that link knowledge, production, documentation, continuity, and peer learning.</w:t>
      </w:r>
    </w:p>
    <w:p w14:paraId="41815625" w14:textId="77777777" w:rsidR="00F3680E" w:rsidRPr="00AD393E" w:rsidRDefault="00F3680E" w:rsidP="00F3680E">
      <w:pPr>
        <w:jc w:val="both"/>
        <w:rPr>
          <w:rFonts w:ascii="Times New Roman" w:hAnsi="Times New Roman" w:cs="Times New Roman"/>
          <w:b/>
          <w:bCs/>
        </w:rPr>
      </w:pPr>
    </w:p>
    <w:p w14:paraId="06355FD7" w14:textId="31A5D24B"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8. Strategic way forward</w:t>
      </w:r>
    </w:p>
    <w:p w14:paraId="48AA648A" w14:textId="7EFA55F3"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Countries should adopt realistic and sequenced implementation plans anchored in national priorities. They should strengthen institutional coordination </w:t>
      </w:r>
      <w:r w:rsidRPr="00AD393E">
        <w:rPr>
          <w:rFonts w:ascii="Times New Roman" w:hAnsi="Times New Roman" w:cs="Times New Roman"/>
        </w:rPr>
        <w:t>to ensure that macroeconomic statistics are supported by a broader,</w:t>
      </w:r>
      <w:r w:rsidRPr="00F3680E">
        <w:rPr>
          <w:rFonts w:ascii="Times New Roman" w:hAnsi="Times New Roman" w:cs="Times New Roman"/>
        </w:rPr>
        <w:t xml:space="preserve"> more reliable data ecosystem. They should invest in surveys, administrative data systems, business registers, compilation tools, and broader statistical infrastructure. They should secure sustainable financing, build and retain human capital, and communicate more effectively with policymakers and data users about the value of improved statistics. </w:t>
      </w:r>
    </w:p>
    <w:p w14:paraId="4BDFED21" w14:textId="57642741"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Regional and international partners also have clear responsibilities. </w:t>
      </w:r>
      <w:r w:rsidR="00857DDE" w:rsidRPr="00AD393E">
        <w:rPr>
          <w:rFonts w:ascii="Times New Roman" w:hAnsi="Times New Roman" w:cs="Times New Roman"/>
        </w:rPr>
        <w:t>There is a</w:t>
      </w:r>
      <w:r w:rsidRPr="00F3680E">
        <w:rPr>
          <w:rFonts w:ascii="Times New Roman" w:hAnsi="Times New Roman" w:cs="Times New Roman"/>
        </w:rPr>
        <w:t xml:space="preserve"> need for better coordination among partners to avoid duplication, harmonize guidance, and support peer learning. Support should go beyond methodology to include readiness assessment, roadmap design, monitoring frameworks, technical </w:t>
      </w:r>
      <w:r w:rsidRPr="00F3680E">
        <w:rPr>
          <w:rFonts w:ascii="Times New Roman" w:hAnsi="Times New Roman" w:cs="Times New Roman"/>
        </w:rPr>
        <w:lastRenderedPageBreak/>
        <w:t xml:space="preserve">models, and country-led implementation packages. This is an important evolution in thinking. It recognizes that effective support is not simply a matter of giving more advice, but of organizing assistance around the actual </w:t>
      </w:r>
      <w:r w:rsidRPr="00AD393E">
        <w:rPr>
          <w:rFonts w:ascii="Times New Roman" w:hAnsi="Times New Roman" w:cs="Times New Roman"/>
        </w:rPr>
        <w:t>implementation pathway</w:t>
      </w:r>
      <w:r w:rsidRPr="00F3680E">
        <w:rPr>
          <w:rFonts w:ascii="Times New Roman" w:hAnsi="Times New Roman" w:cs="Times New Roman"/>
        </w:rPr>
        <w:t xml:space="preserve">. </w:t>
      </w:r>
    </w:p>
    <w:p w14:paraId="6898F383"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Communication is another strategic issue highlighted by the workshop. Better macroeconomic statistics require political support, funding, institutional cooperation, and user trust. These are easier to mobilize when policymakers and data users understand the practical value of improved statistics. Communication should therefore not be seen as an afterthought. It is part of building the constituency for reform. </w:t>
      </w:r>
    </w:p>
    <w:p w14:paraId="4EC2D157" w14:textId="77777777"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Perhaps the most important strategic message is that the transition must remain country-led while benefiting from coordinated regional support. This balance is essential. National ownership is necessary because implementation depends on domestic institutions, laws, budgets, and teams. But regional support is equally important because countries can learn from one another, pool experience, and benefit from harmonized technical guidance. The most promising model is therefore one in which countries define their own roadmaps while regional and international actors align support around them. </w:t>
      </w:r>
    </w:p>
    <w:p w14:paraId="76EFCCD7" w14:textId="77777777" w:rsidR="00F3680E" w:rsidRPr="00AD393E" w:rsidRDefault="00F3680E" w:rsidP="00F3680E">
      <w:pPr>
        <w:jc w:val="both"/>
        <w:rPr>
          <w:rFonts w:ascii="Times New Roman" w:hAnsi="Times New Roman" w:cs="Times New Roman"/>
          <w:b/>
          <w:bCs/>
        </w:rPr>
      </w:pPr>
    </w:p>
    <w:p w14:paraId="22E5CDE6" w14:textId="4E10D608" w:rsidR="00F3680E" w:rsidRPr="00F3680E" w:rsidRDefault="00F3680E" w:rsidP="00F3680E">
      <w:pPr>
        <w:jc w:val="both"/>
        <w:rPr>
          <w:rFonts w:ascii="Times New Roman" w:hAnsi="Times New Roman" w:cs="Times New Roman"/>
          <w:b/>
          <w:bCs/>
        </w:rPr>
      </w:pPr>
      <w:r w:rsidRPr="00F3680E">
        <w:rPr>
          <w:rFonts w:ascii="Times New Roman" w:hAnsi="Times New Roman" w:cs="Times New Roman"/>
          <w:b/>
          <w:bCs/>
        </w:rPr>
        <w:t>9. Conclusion</w:t>
      </w:r>
    </w:p>
    <w:p w14:paraId="6518BB7B" w14:textId="668D1E6D"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transition to BPM7 and the 2025 SNA is a long-term institutional transformation, not a purely technical exercise. Africa enters this phase with important experience from </w:t>
      </w:r>
      <w:r w:rsidRPr="00AD393E">
        <w:rPr>
          <w:rFonts w:ascii="Times New Roman" w:hAnsi="Times New Roman" w:cs="Times New Roman"/>
        </w:rPr>
        <w:t>implementing</w:t>
      </w:r>
      <w:r w:rsidRPr="00F3680E">
        <w:rPr>
          <w:rFonts w:ascii="Times New Roman" w:hAnsi="Times New Roman" w:cs="Times New Roman"/>
        </w:rPr>
        <w:t xml:space="preserve"> the 2008 SNA and BPM6, but also with visible structural constraints that cannot be ignored. Progress under the previous cycle proves that reform is possible. The persistence of gaps proves that reform must now be approached more systemically. </w:t>
      </w:r>
    </w:p>
    <w:p w14:paraId="00DD501A" w14:textId="6B0CEEBF" w:rsidR="00F3680E" w:rsidRPr="00F3680E" w:rsidRDefault="00F3680E" w:rsidP="00F3680E">
      <w:pPr>
        <w:jc w:val="both"/>
        <w:rPr>
          <w:rFonts w:ascii="Times New Roman" w:hAnsi="Times New Roman" w:cs="Times New Roman"/>
        </w:rPr>
      </w:pPr>
      <w:r w:rsidRPr="00F3680E">
        <w:rPr>
          <w:rFonts w:ascii="Times New Roman" w:hAnsi="Times New Roman" w:cs="Times New Roman"/>
        </w:rPr>
        <w:t xml:space="preserve">The workshop’s lasting contribution is the reframing of implementation. It places readiness, roadmaps, institutional coordination, data ecosystems, capacity retention, practical technical assistance, and results monitoring at the center of the agenda. It also highlights that successful reform depends on linking standards to production systems and guidance to real operational milestones. The example of GDP rebasing support to Togo and the warning about weak results frameworks make this point especially concrete. </w:t>
      </w:r>
    </w:p>
    <w:p w14:paraId="4556B6EF" w14:textId="77777777" w:rsidR="00F3680E" w:rsidRPr="00AD393E" w:rsidRDefault="00F3680E" w:rsidP="00F3680E">
      <w:pPr>
        <w:jc w:val="both"/>
        <w:rPr>
          <w:rFonts w:ascii="Times New Roman" w:hAnsi="Times New Roman" w:cs="Times New Roman"/>
        </w:rPr>
      </w:pPr>
      <w:r w:rsidRPr="00F3680E">
        <w:rPr>
          <w:rFonts w:ascii="Times New Roman" w:hAnsi="Times New Roman" w:cs="Times New Roman"/>
        </w:rPr>
        <w:t xml:space="preserve">If the recommendations emerging from the workshop are followed, the transition to BPM7 and the 2025 SNA can do more than update macroeconomic methodology. It can strengthen the institutional foundations of macroeconomic statistics across Africa, making them more coherent, resilient, relevant, and useful. That would be a major achievement not only for the statistical community, but for policymaking, accountability, economic governance, and regional integration more broadly. </w:t>
      </w:r>
    </w:p>
    <w:p w14:paraId="55E61E22" w14:textId="77777777" w:rsidR="00AD393E" w:rsidRPr="00AD393E" w:rsidRDefault="00AD393E" w:rsidP="00F3680E">
      <w:pPr>
        <w:jc w:val="both"/>
        <w:rPr>
          <w:rFonts w:ascii="Times New Roman" w:hAnsi="Times New Roman" w:cs="Times New Roman"/>
        </w:rPr>
      </w:pPr>
    </w:p>
    <w:p w14:paraId="208C1299" w14:textId="77777777" w:rsidR="00A73B18" w:rsidRDefault="00A73B18">
      <w:pPr>
        <w:rPr>
          <w:rFonts w:ascii="Times New Roman" w:eastAsiaTheme="majorEastAsia" w:hAnsi="Times New Roman" w:cs="Times New Roman"/>
          <w:sz w:val="32"/>
          <w:szCs w:val="32"/>
        </w:rPr>
      </w:pPr>
      <w:r>
        <w:rPr>
          <w:rFonts w:ascii="Times New Roman" w:hAnsi="Times New Roman" w:cs="Times New Roman"/>
        </w:rPr>
        <w:br w:type="page"/>
      </w:r>
    </w:p>
    <w:p w14:paraId="0F59DB4A" w14:textId="394B8076" w:rsidR="00AD393E" w:rsidRPr="00AD393E" w:rsidRDefault="00AD393E" w:rsidP="00AD393E">
      <w:pPr>
        <w:pStyle w:val="Heading2"/>
        <w:jc w:val="both"/>
        <w:rPr>
          <w:rFonts w:ascii="Times New Roman" w:hAnsi="Times New Roman" w:cs="Times New Roman"/>
          <w:color w:val="auto"/>
        </w:rPr>
      </w:pPr>
      <w:r w:rsidRPr="00AD393E">
        <w:rPr>
          <w:rFonts w:ascii="Times New Roman" w:hAnsi="Times New Roman" w:cs="Times New Roman"/>
          <w:color w:val="auto"/>
        </w:rPr>
        <w:lastRenderedPageBreak/>
        <w:t>Annex: List of Invited Countries</w:t>
      </w:r>
    </w:p>
    <w:p w14:paraId="053E6FEA" w14:textId="77777777" w:rsidR="00AD393E" w:rsidRPr="00AD393E" w:rsidRDefault="00AD393E" w:rsidP="00AD393E">
      <w:pPr>
        <w:jc w:val="both"/>
        <w:rPr>
          <w:rFonts w:ascii="Times New Roman" w:hAnsi="Times New Roman" w:cs="Times New Roman"/>
        </w:rPr>
      </w:pPr>
      <w:r w:rsidRPr="00AD393E">
        <w:rPr>
          <w:rFonts w:ascii="Times New Roman" w:hAnsi="Times New Roman" w:cs="Times New Roman"/>
        </w:rPr>
        <w:t>Algeria; Angola; Benin; Botswana; Burkina Faso; Burundi; Cabo Verde; Cameroon; Central African Republic; Chad; Comoros; Congo (Republic of); Congo (Democratic Republic of); Côte d’Ivoire; Djibouti; Egypt; Equatorial Guinea; Eritrea; Eswatini; Ethiopia; Gambia; Gabon; Ghana; Guinea; Guinea‑Bissau; Kenya; Lesotho; Liberia; Libya; Madagascar; Malawi; Mali; Mauritania; Mauritius; Morocco; Mozambique; Namibia; Niger; Nigeria; Rwanda; São Tomé and Príncipe; Senegal; Seychelles; Sierra Leone; Somalia; South Africa; South Sudan; Sudan; Tanzania; Togo; Tunisia; Uganda; Zambia; Zimbabwe.</w:t>
      </w:r>
    </w:p>
    <w:p w14:paraId="4758292B" w14:textId="77777777" w:rsidR="00AD393E" w:rsidRPr="00AD393E" w:rsidRDefault="00AD393E" w:rsidP="00AD393E">
      <w:pPr>
        <w:jc w:val="both"/>
        <w:rPr>
          <w:rFonts w:ascii="Times New Roman" w:hAnsi="Times New Roman" w:cs="Times New Roman"/>
        </w:rPr>
      </w:pPr>
      <w:r w:rsidRPr="00AD393E">
        <w:rPr>
          <w:rFonts w:ascii="Times New Roman" w:hAnsi="Times New Roman" w:cs="Times New Roman"/>
        </w:rPr>
        <w:br/>
        <w:t>Regional and Institutional Groupings: BCEAO; BEAC; EAC; MEFMI; WAIFEM.</w:t>
      </w:r>
    </w:p>
    <w:p w14:paraId="544FAAD7" w14:textId="77777777" w:rsidR="00AD393E" w:rsidRPr="00F3680E" w:rsidRDefault="00AD393E" w:rsidP="00F3680E">
      <w:pPr>
        <w:jc w:val="both"/>
        <w:rPr>
          <w:rFonts w:ascii="Times New Roman" w:hAnsi="Times New Roman" w:cs="Times New Roman"/>
        </w:rPr>
      </w:pPr>
    </w:p>
    <w:p w14:paraId="1BF7DA46" w14:textId="77777777" w:rsidR="00F3680E" w:rsidRPr="00AD393E" w:rsidRDefault="00F3680E" w:rsidP="00F3680E">
      <w:pPr>
        <w:jc w:val="both"/>
        <w:rPr>
          <w:rFonts w:ascii="Times New Roman" w:hAnsi="Times New Roman" w:cs="Times New Roman"/>
        </w:rPr>
      </w:pPr>
    </w:p>
    <w:sectPr w:rsidR="00F3680E" w:rsidRPr="00AD393E" w:rsidSect="00F3680E">
      <w:footerReference w:type="default" r:id="rId6"/>
      <w:pgSz w:w="12240" w:h="15840"/>
      <w:pgMar w:top="1440" w:right="99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B981" w14:textId="77777777" w:rsidR="00B10F48" w:rsidRDefault="00B10F48" w:rsidP="00F3680E">
      <w:pPr>
        <w:spacing w:after="0" w:line="240" w:lineRule="auto"/>
      </w:pPr>
      <w:r>
        <w:separator/>
      </w:r>
    </w:p>
  </w:endnote>
  <w:endnote w:type="continuationSeparator" w:id="0">
    <w:p w14:paraId="17D0BAB6" w14:textId="77777777" w:rsidR="00B10F48" w:rsidRDefault="00B10F48" w:rsidP="00F36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04797"/>
      <w:docPartObj>
        <w:docPartGallery w:val="Page Numbers (Bottom of Page)"/>
        <w:docPartUnique/>
      </w:docPartObj>
    </w:sdtPr>
    <w:sdtEndPr>
      <w:rPr>
        <w:noProof/>
      </w:rPr>
    </w:sdtEndPr>
    <w:sdtContent>
      <w:p w14:paraId="1922ACC3" w14:textId="5EB2B904" w:rsidR="00F3680E" w:rsidRDefault="00F368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53530A" w14:textId="77777777" w:rsidR="00F3680E" w:rsidRDefault="00F36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67BCF" w14:textId="77777777" w:rsidR="00B10F48" w:rsidRDefault="00B10F48" w:rsidP="00F3680E">
      <w:pPr>
        <w:spacing w:after="0" w:line="240" w:lineRule="auto"/>
      </w:pPr>
      <w:r>
        <w:separator/>
      </w:r>
    </w:p>
  </w:footnote>
  <w:footnote w:type="continuationSeparator" w:id="0">
    <w:p w14:paraId="65EB2263" w14:textId="77777777" w:rsidR="00B10F48" w:rsidRDefault="00B10F48" w:rsidP="00F368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80E"/>
    <w:rsid w:val="006A6505"/>
    <w:rsid w:val="00857DDE"/>
    <w:rsid w:val="00A73B18"/>
    <w:rsid w:val="00AD393E"/>
    <w:rsid w:val="00B10F48"/>
    <w:rsid w:val="00B81458"/>
    <w:rsid w:val="00DC6108"/>
    <w:rsid w:val="00F3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3C2F"/>
  <w15:chartTrackingRefBased/>
  <w15:docId w15:val="{309521D2-227F-4A19-A3A5-983E37FBB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80E"/>
    <w:rPr>
      <w:rFonts w:eastAsiaTheme="majorEastAsia" w:cstheme="majorBidi"/>
      <w:color w:val="272727" w:themeColor="text1" w:themeTint="D8"/>
    </w:rPr>
  </w:style>
  <w:style w:type="paragraph" w:styleId="Title">
    <w:name w:val="Title"/>
    <w:basedOn w:val="Normal"/>
    <w:next w:val="Normal"/>
    <w:link w:val="TitleChar"/>
    <w:uiPriority w:val="10"/>
    <w:qFormat/>
    <w:rsid w:val="00F36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80E"/>
    <w:pPr>
      <w:spacing w:before="160"/>
      <w:jc w:val="center"/>
    </w:pPr>
    <w:rPr>
      <w:i/>
      <w:iCs/>
      <w:color w:val="404040" w:themeColor="text1" w:themeTint="BF"/>
    </w:rPr>
  </w:style>
  <w:style w:type="character" w:customStyle="1" w:styleId="QuoteChar">
    <w:name w:val="Quote Char"/>
    <w:basedOn w:val="DefaultParagraphFont"/>
    <w:link w:val="Quote"/>
    <w:uiPriority w:val="29"/>
    <w:rsid w:val="00F3680E"/>
    <w:rPr>
      <w:i/>
      <w:iCs/>
      <w:color w:val="404040" w:themeColor="text1" w:themeTint="BF"/>
    </w:rPr>
  </w:style>
  <w:style w:type="paragraph" w:styleId="ListParagraph">
    <w:name w:val="List Paragraph"/>
    <w:basedOn w:val="Normal"/>
    <w:uiPriority w:val="34"/>
    <w:qFormat/>
    <w:rsid w:val="00F3680E"/>
    <w:pPr>
      <w:ind w:left="720"/>
      <w:contextualSpacing/>
    </w:pPr>
  </w:style>
  <w:style w:type="character" w:styleId="IntenseEmphasis">
    <w:name w:val="Intense Emphasis"/>
    <w:basedOn w:val="DefaultParagraphFont"/>
    <w:uiPriority w:val="21"/>
    <w:qFormat/>
    <w:rsid w:val="00F3680E"/>
    <w:rPr>
      <w:i/>
      <w:iCs/>
      <w:color w:val="0F4761" w:themeColor="accent1" w:themeShade="BF"/>
    </w:rPr>
  </w:style>
  <w:style w:type="paragraph" w:styleId="IntenseQuote">
    <w:name w:val="Intense Quote"/>
    <w:basedOn w:val="Normal"/>
    <w:next w:val="Normal"/>
    <w:link w:val="IntenseQuoteChar"/>
    <w:uiPriority w:val="30"/>
    <w:qFormat/>
    <w:rsid w:val="00F36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80E"/>
    <w:rPr>
      <w:i/>
      <w:iCs/>
      <w:color w:val="0F4761" w:themeColor="accent1" w:themeShade="BF"/>
    </w:rPr>
  </w:style>
  <w:style w:type="character" w:styleId="IntenseReference">
    <w:name w:val="Intense Reference"/>
    <w:basedOn w:val="DefaultParagraphFont"/>
    <w:uiPriority w:val="32"/>
    <w:qFormat/>
    <w:rsid w:val="00F3680E"/>
    <w:rPr>
      <w:b/>
      <w:bCs/>
      <w:smallCaps/>
      <w:color w:val="0F4761" w:themeColor="accent1" w:themeShade="BF"/>
      <w:spacing w:val="5"/>
    </w:rPr>
  </w:style>
  <w:style w:type="paragraph" w:styleId="Header">
    <w:name w:val="header"/>
    <w:basedOn w:val="Normal"/>
    <w:link w:val="HeaderChar"/>
    <w:uiPriority w:val="99"/>
    <w:unhideWhenUsed/>
    <w:rsid w:val="00F36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80E"/>
  </w:style>
  <w:style w:type="paragraph" w:styleId="Footer">
    <w:name w:val="footer"/>
    <w:basedOn w:val="Normal"/>
    <w:link w:val="FooterChar"/>
    <w:uiPriority w:val="99"/>
    <w:unhideWhenUsed/>
    <w:rsid w:val="00F36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10</Pages>
  <Words>4522</Words>
  <Characters>25776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Issoufou Seidou Sanda</dc:creator>
  <cp:keywords/>
  <dc:description/>
  <cp:lastModifiedBy>Issoufou Seidou Sanda</cp:lastModifiedBy>
  <cp:revision>4</cp:revision>
  <dcterms:created xsi:type="dcterms:W3CDTF">2026-04-15T13:51:00Z</dcterms:created>
  <dcterms:modified xsi:type="dcterms:W3CDTF">2026-04-15T14:10:00Z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fa01aed9-c2e5-4173-85f4-11dfe9582e38</vt:lpwstr>
  </property>
</Properties>
</file>